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7BA1F" w14:textId="77CD9D2C" w:rsidR="001E55B0" w:rsidRPr="009A1EAF" w:rsidRDefault="009A1EAF" w:rsidP="009A1EAF">
      <w:pPr>
        <w:rPr>
          <w:rFonts w:ascii="ING Me" w:hAnsi="ING Me"/>
          <w:b/>
          <w:bCs/>
          <w:sz w:val="26"/>
          <w:szCs w:val="26"/>
        </w:rPr>
      </w:pPr>
      <w:r w:rsidRPr="009A1EAF">
        <w:rPr>
          <w:rFonts w:ascii="ING Me" w:hAnsi="ING Me"/>
          <w:b/>
          <w:bCs/>
          <w:sz w:val="26"/>
          <w:szCs w:val="26"/>
        </w:rPr>
        <w:t>Bijna z</w:t>
      </w:r>
      <w:r w:rsidR="001E55B0" w:rsidRPr="009A1EAF">
        <w:rPr>
          <w:rFonts w:ascii="ING Me" w:hAnsi="ING Me"/>
          <w:b/>
          <w:bCs/>
          <w:sz w:val="26"/>
          <w:szCs w:val="26"/>
        </w:rPr>
        <w:t>es op de tien Belgen gebruiken minder cash dan een jaar geleden</w:t>
      </w:r>
    </w:p>
    <w:p w14:paraId="68D39389" w14:textId="1D8215B6" w:rsidR="00705AA9" w:rsidRPr="009A1EAF" w:rsidRDefault="001E55B0" w:rsidP="009A1EAF">
      <w:pPr>
        <w:rPr>
          <w:rFonts w:ascii="ING Me" w:hAnsi="ING Me"/>
          <w:b/>
          <w:bCs/>
          <w:sz w:val="24"/>
          <w:szCs w:val="24"/>
        </w:rPr>
      </w:pPr>
      <w:r w:rsidRPr="009A1EAF">
        <w:rPr>
          <w:rFonts w:ascii="ING Me" w:hAnsi="ING Me"/>
          <w:b/>
          <w:bCs/>
          <w:sz w:val="24"/>
          <w:szCs w:val="24"/>
        </w:rPr>
        <w:t xml:space="preserve">ING-studie: </w:t>
      </w:r>
      <w:r w:rsidR="00595883" w:rsidRPr="009A1EAF">
        <w:rPr>
          <w:rFonts w:ascii="ING Me" w:hAnsi="ING Me"/>
          <w:b/>
          <w:bCs/>
          <w:sz w:val="24"/>
          <w:szCs w:val="24"/>
        </w:rPr>
        <w:t>cash nog steeds populair voor kleine voedin</w:t>
      </w:r>
      <w:r w:rsidR="007419CA">
        <w:rPr>
          <w:rFonts w:ascii="ING Me" w:hAnsi="ING Me"/>
          <w:b/>
          <w:bCs/>
          <w:sz w:val="24"/>
          <w:szCs w:val="24"/>
        </w:rPr>
        <w:t>g</w:t>
      </w:r>
      <w:r w:rsidR="00595883" w:rsidRPr="009A1EAF">
        <w:rPr>
          <w:rFonts w:ascii="ING Me" w:hAnsi="ING Me"/>
          <w:b/>
          <w:bCs/>
          <w:sz w:val="24"/>
          <w:szCs w:val="24"/>
        </w:rPr>
        <w:t xml:space="preserve">suitgaven en zakgeld </w:t>
      </w:r>
    </w:p>
    <w:p w14:paraId="15681474" w14:textId="7011525E" w:rsidR="00E81C83" w:rsidRPr="009A1EAF" w:rsidRDefault="00595883" w:rsidP="009A1EAF">
      <w:pPr>
        <w:rPr>
          <w:rFonts w:ascii="ING Me" w:hAnsi="ING Me"/>
          <w:b/>
          <w:bCs/>
        </w:rPr>
      </w:pPr>
      <w:r w:rsidRPr="009A1EAF">
        <w:rPr>
          <w:rFonts w:ascii="ING Me" w:hAnsi="ING Me"/>
          <w:b/>
          <w:bCs/>
        </w:rPr>
        <w:t xml:space="preserve">Donderdag 10 september 2020 – Brussel - </w:t>
      </w:r>
      <w:r w:rsidR="00E81C83" w:rsidRPr="009A1EAF">
        <w:rPr>
          <w:rFonts w:ascii="ING Me" w:hAnsi="ING Me"/>
          <w:b/>
          <w:bCs/>
        </w:rPr>
        <w:t>Het gebruik van contant geld zat al vóór 2020 in een dalende lijn</w:t>
      </w:r>
      <w:r w:rsidR="001E55B0" w:rsidRPr="009A1EAF">
        <w:rPr>
          <w:rFonts w:ascii="ING Me" w:hAnsi="ING Me"/>
          <w:b/>
          <w:bCs/>
        </w:rPr>
        <w:t xml:space="preserve"> en </w:t>
      </w:r>
      <w:r w:rsidR="00E81C83" w:rsidRPr="009A1EAF">
        <w:rPr>
          <w:rFonts w:ascii="ING Me" w:hAnsi="ING Me"/>
          <w:b/>
          <w:bCs/>
        </w:rPr>
        <w:t xml:space="preserve">de coronapandemie lijkt die trend flink te hebben aangewakkerd. </w:t>
      </w:r>
      <w:r w:rsidR="00913401" w:rsidRPr="009A1EAF">
        <w:rPr>
          <w:rFonts w:ascii="ING Me" w:hAnsi="ING Me"/>
          <w:b/>
          <w:bCs/>
        </w:rPr>
        <w:t xml:space="preserve">Bijna </w:t>
      </w:r>
      <w:r w:rsidR="009A1EAF">
        <w:rPr>
          <w:rFonts w:ascii="ING Me" w:hAnsi="ING Me"/>
          <w:b/>
          <w:bCs/>
        </w:rPr>
        <w:t xml:space="preserve">zes </w:t>
      </w:r>
      <w:r w:rsidR="00E81C83" w:rsidRPr="009A1EAF">
        <w:rPr>
          <w:rFonts w:ascii="ING Me" w:hAnsi="ING Me"/>
          <w:b/>
          <w:bCs/>
        </w:rPr>
        <w:t xml:space="preserve">op </w:t>
      </w:r>
      <w:r w:rsidR="009A1EAF">
        <w:rPr>
          <w:rFonts w:ascii="ING Me" w:hAnsi="ING Me"/>
          <w:b/>
          <w:bCs/>
        </w:rPr>
        <w:t>de tien</w:t>
      </w:r>
      <w:r w:rsidR="00E81C83" w:rsidRPr="009A1EAF">
        <w:rPr>
          <w:rFonts w:ascii="ING Me" w:hAnsi="ING Me"/>
          <w:b/>
          <w:bCs/>
        </w:rPr>
        <w:t xml:space="preserve"> Belgen </w:t>
      </w:r>
      <w:r w:rsidR="00913401" w:rsidRPr="009A1EAF">
        <w:rPr>
          <w:rFonts w:ascii="ING Me" w:hAnsi="ING Me"/>
          <w:b/>
          <w:bCs/>
        </w:rPr>
        <w:t>zeg</w:t>
      </w:r>
      <w:r w:rsidR="00BC1DA9" w:rsidRPr="009A1EAF">
        <w:rPr>
          <w:rFonts w:ascii="ING Me" w:hAnsi="ING Me"/>
          <w:b/>
          <w:bCs/>
        </w:rPr>
        <w:t>gen</w:t>
      </w:r>
      <w:r w:rsidR="00E81C83" w:rsidRPr="009A1EAF">
        <w:rPr>
          <w:rFonts w:ascii="ING Me" w:hAnsi="ING Me"/>
          <w:b/>
          <w:bCs/>
        </w:rPr>
        <w:t xml:space="preserve"> in 2020 minder cash</w:t>
      </w:r>
      <w:r w:rsidR="00913401" w:rsidRPr="009A1EAF">
        <w:rPr>
          <w:rFonts w:ascii="ING Me" w:hAnsi="ING Me"/>
          <w:b/>
          <w:bCs/>
        </w:rPr>
        <w:t xml:space="preserve"> te gebruiken</w:t>
      </w:r>
      <w:r w:rsidR="00E81C83" w:rsidRPr="009A1EAF">
        <w:rPr>
          <w:rFonts w:ascii="ING Me" w:hAnsi="ING Me"/>
          <w:b/>
          <w:bCs/>
        </w:rPr>
        <w:t xml:space="preserve"> dan een jaar geleden. Bovendien is de helft </w:t>
      </w:r>
      <w:bookmarkStart w:id="0" w:name="_GoBack"/>
      <w:r w:rsidR="00E81C83" w:rsidRPr="009A1EAF">
        <w:rPr>
          <w:rFonts w:ascii="ING Me" w:hAnsi="ING Me"/>
          <w:b/>
          <w:bCs/>
        </w:rPr>
        <w:t xml:space="preserve">van de Belgen terughoudender </w:t>
      </w:r>
      <w:r w:rsidR="001E55B0" w:rsidRPr="009A1EAF">
        <w:rPr>
          <w:rFonts w:ascii="ING Me" w:hAnsi="ING Me"/>
          <w:b/>
          <w:bCs/>
        </w:rPr>
        <w:t xml:space="preserve">om cash te gebruiken </w:t>
      </w:r>
      <w:bookmarkEnd w:id="0"/>
      <w:r w:rsidR="00E81C83" w:rsidRPr="009A1EAF">
        <w:rPr>
          <w:rFonts w:ascii="ING Me" w:hAnsi="ING Me"/>
          <w:b/>
          <w:bCs/>
        </w:rPr>
        <w:t xml:space="preserve">sinds het begin van de pandemie. Dat blijkt uit een </w:t>
      </w:r>
      <w:r w:rsidRPr="009A1EAF">
        <w:rPr>
          <w:rFonts w:ascii="ING Me" w:hAnsi="ING Me"/>
          <w:b/>
          <w:bCs/>
        </w:rPr>
        <w:t xml:space="preserve">internationale </w:t>
      </w:r>
      <w:r w:rsidR="00E81C83" w:rsidRPr="009A1EAF">
        <w:rPr>
          <w:rFonts w:ascii="ING Me" w:hAnsi="ING Me"/>
          <w:b/>
          <w:bCs/>
        </w:rPr>
        <w:t>studie van het Economisch Bureau van ING</w:t>
      </w:r>
      <w:r w:rsidR="009A1EAF">
        <w:rPr>
          <w:rStyle w:val="Voetnootmarkering"/>
        </w:rPr>
        <w:footnoteReference w:id="2"/>
      </w:r>
      <w:r w:rsidR="00E81C83" w:rsidRPr="009A1EAF">
        <w:rPr>
          <w:rFonts w:ascii="ING Me" w:hAnsi="ING Me"/>
          <w:b/>
          <w:bCs/>
        </w:rPr>
        <w:t xml:space="preserve"> , dat hiervoor </w:t>
      </w:r>
      <w:r w:rsidR="001E55B0" w:rsidRPr="009A1EAF">
        <w:rPr>
          <w:rFonts w:ascii="ING Me" w:hAnsi="ING Me"/>
          <w:b/>
          <w:bCs/>
        </w:rPr>
        <w:t>duizend</w:t>
      </w:r>
      <w:r w:rsidR="00E81C83" w:rsidRPr="009A1EAF">
        <w:rPr>
          <w:rFonts w:ascii="ING Me" w:hAnsi="ING Me"/>
          <w:b/>
          <w:bCs/>
        </w:rPr>
        <w:t xml:space="preserve"> Belgen bevroeg en </w:t>
      </w:r>
      <w:r w:rsidR="00480B40" w:rsidRPr="009A1EAF">
        <w:rPr>
          <w:rFonts w:ascii="ING Me" w:hAnsi="ING Me"/>
          <w:b/>
          <w:bCs/>
        </w:rPr>
        <w:t>zo’n</w:t>
      </w:r>
      <w:r w:rsidR="00E81C83" w:rsidRPr="009A1EAF">
        <w:rPr>
          <w:rFonts w:ascii="ING Me" w:hAnsi="ING Me"/>
          <w:b/>
          <w:bCs/>
        </w:rPr>
        <w:t xml:space="preserve"> </w:t>
      </w:r>
      <w:r w:rsidR="001E55B0" w:rsidRPr="009A1EAF">
        <w:rPr>
          <w:rFonts w:ascii="ING Me" w:hAnsi="ING Me"/>
          <w:b/>
          <w:bCs/>
        </w:rPr>
        <w:t>twintig</w:t>
      </w:r>
      <w:r w:rsidR="00E81C83" w:rsidRPr="009A1EAF">
        <w:rPr>
          <w:rFonts w:ascii="ING Me" w:hAnsi="ING Me"/>
          <w:b/>
          <w:bCs/>
        </w:rPr>
        <w:t xml:space="preserve"> miljoen transacties </w:t>
      </w:r>
      <w:r w:rsidRPr="009A1EAF">
        <w:rPr>
          <w:rFonts w:ascii="ING Me" w:hAnsi="ING Me"/>
          <w:b/>
          <w:bCs/>
        </w:rPr>
        <w:t xml:space="preserve">in België </w:t>
      </w:r>
      <w:r w:rsidR="00E81C83" w:rsidRPr="009A1EAF">
        <w:rPr>
          <w:rFonts w:ascii="ING Me" w:hAnsi="ING Me"/>
          <w:b/>
          <w:bCs/>
        </w:rPr>
        <w:t xml:space="preserve">analyseerde tussen begin maart en eind augustus 2020. Toch blijft cash opvallend populair </w:t>
      </w:r>
      <w:r w:rsidR="000C3CA7" w:rsidRPr="009A1EAF">
        <w:rPr>
          <w:rFonts w:ascii="ING Me" w:hAnsi="ING Me"/>
          <w:b/>
          <w:bCs/>
        </w:rPr>
        <w:t>voor kleine uitgaven</w:t>
      </w:r>
      <w:r w:rsidR="00845ACB" w:rsidRPr="009A1EAF">
        <w:rPr>
          <w:rFonts w:ascii="ING Me" w:hAnsi="ING Me"/>
          <w:b/>
          <w:bCs/>
        </w:rPr>
        <w:t xml:space="preserve">, </w:t>
      </w:r>
      <w:r w:rsidR="00E81C83" w:rsidRPr="009A1EAF">
        <w:rPr>
          <w:rFonts w:ascii="ING Me" w:hAnsi="ING Me"/>
          <w:b/>
          <w:bCs/>
        </w:rPr>
        <w:t xml:space="preserve">als betaalmiddel in de zwarte economie </w:t>
      </w:r>
      <w:r w:rsidR="00845ACB" w:rsidRPr="009A1EAF">
        <w:rPr>
          <w:rFonts w:ascii="ING Me" w:hAnsi="ING Me"/>
          <w:b/>
          <w:bCs/>
        </w:rPr>
        <w:t xml:space="preserve">en als </w:t>
      </w:r>
      <w:r w:rsidR="00DD1214" w:rsidRPr="009A1EAF">
        <w:rPr>
          <w:rFonts w:ascii="ING Me" w:hAnsi="ING Me"/>
          <w:b/>
          <w:bCs/>
        </w:rPr>
        <w:t>spaar</w:t>
      </w:r>
      <w:r w:rsidR="00913401" w:rsidRPr="009A1EAF">
        <w:rPr>
          <w:rFonts w:ascii="ING Me" w:hAnsi="ING Me"/>
          <w:b/>
          <w:bCs/>
        </w:rPr>
        <w:t>middel.</w:t>
      </w:r>
    </w:p>
    <w:p w14:paraId="4303F1BD" w14:textId="1B819D05" w:rsidR="00EE5BA1" w:rsidRDefault="00913401" w:rsidP="009A1EAF">
      <w:pPr>
        <w:pStyle w:val="Introduction"/>
      </w:pPr>
      <w:r>
        <w:t>Uit de internationale peilingen van ING</w:t>
      </w:r>
      <w:r w:rsidR="007F3B0E">
        <w:t xml:space="preserve"> </w:t>
      </w:r>
      <w:r>
        <w:t xml:space="preserve">blijkt dat cash </w:t>
      </w:r>
      <w:r w:rsidRPr="00137284">
        <w:t xml:space="preserve">langzaam </w:t>
      </w:r>
      <w:r w:rsidR="00F4244A">
        <w:t>plaats moet maken voor</w:t>
      </w:r>
      <w:r w:rsidRPr="00137284">
        <w:t xml:space="preserve"> </w:t>
      </w:r>
      <w:r w:rsidR="005E15B8">
        <w:t>oplossingen zoals kaart</w:t>
      </w:r>
      <w:r w:rsidR="00BD2E99">
        <w:t>- en</w:t>
      </w:r>
      <w:r w:rsidR="00BB5E83">
        <w:t xml:space="preserve"> mobiele betalingen</w:t>
      </w:r>
      <w:r w:rsidR="00392DBF">
        <w:t xml:space="preserve">. </w:t>
      </w:r>
      <w:r w:rsidR="004501BA">
        <w:t>“</w:t>
      </w:r>
      <w:r w:rsidR="003F0007" w:rsidRPr="001E55B0">
        <w:rPr>
          <w:i/>
          <w:iCs/>
        </w:rPr>
        <w:t xml:space="preserve">Ongeacht de categorie van uitgaven </w:t>
      </w:r>
      <w:r w:rsidR="000F5B64" w:rsidRPr="001E55B0">
        <w:rPr>
          <w:i/>
          <w:iCs/>
        </w:rPr>
        <w:t>zijn er in 2020</w:t>
      </w:r>
      <w:r w:rsidR="003F0007" w:rsidRPr="001E55B0">
        <w:rPr>
          <w:i/>
          <w:iCs/>
        </w:rPr>
        <w:t xml:space="preserve"> minder Belgen </w:t>
      </w:r>
      <w:r w:rsidR="000F5B64" w:rsidRPr="001E55B0">
        <w:rPr>
          <w:i/>
          <w:iCs/>
        </w:rPr>
        <w:t>die zeggen</w:t>
      </w:r>
      <w:r w:rsidR="003F0007" w:rsidRPr="001E55B0">
        <w:rPr>
          <w:i/>
          <w:iCs/>
        </w:rPr>
        <w:t xml:space="preserve"> contant geld te </w:t>
      </w:r>
      <w:r w:rsidR="00525FC7" w:rsidRPr="001E55B0">
        <w:rPr>
          <w:i/>
          <w:iCs/>
        </w:rPr>
        <w:t>gebruiken</w:t>
      </w:r>
      <w:r w:rsidR="003F0007" w:rsidRPr="001E55B0">
        <w:rPr>
          <w:i/>
          <w:iCs/>
        </w:rPr>
        <w:t xml:space="preserve"> dan in 2017.</w:t>
      </w:r>
      <w:r w:rsidR="00AB768B" w:rsidRPr="001E55B0">
        <w:rPr>
          <w:i/>
          <w:iCs/>
        </w:rPr>
        <w:t xml:space="preserve"> </w:t>
      </w:r>
      <w:r w:rsidR="00D43C58" w:rsidRPr="001E55B0">
        <w:rPr>
          <w:i/>
          <w:iCs/>
        </w:rPr>
        <w:t>Kijk bijvoorbeeld</w:t>
      </w:r>
      <w:r w:rsidR="0093718C" w:rsidRPr="001E55B0">
        <w:rPr>
          <w:i/>
          <w:iCs/>
        </w:rPr>
        <w:t xml:space="preserve"> naar de</w:t>
      </w:r>
      <w:r w:rsidR="003A07E2" w:rsidRPr="001E55B0">
        <w:rPr>
          <w:i/>
          <w:iCs/>
        </w:rPr>
        <w:t xml:space="preserve"> uitgaven in restaurants</w:t>
      </w:r>
      <w:r w:rsidR="00D43C58" w:rsidRPr="001E55B0">
        <w:rPr>
          <w:i/>
          <w:iCs/>
        </w:rPr>
        <w:t>: t</w:t>
      </w:r>
      <w:r w:rsidR="00D625BE" w:rsidRPr="001E55B0">
        <w:rPr>
          <w:i/>
          <w:iCs/>
        </w:rPr>
        <w:t>erwijl 34% van de Belgen in 2017 nog cash gebruikte</w:t>
      </w:r>
      <w:r w:rsidR="00D43C58" w:rsidRPr="001E55B0">
        <w:rPr>
          <w:i/>
          <w:iCs/>
        </w:rPr>
        <w:t xml:space="preserve">, betaalt vandaag slechts 19% </w:t>
      </w:r>
      <w:r w:rsidR="005814DD" w:rsidRPr="001E55B0">
        <w:rPr>
          <w:i/>
          <w:iCs/>
        </w:rPr>
        <w:t xml:space="preserve">contant voor </w:t>
      </w:r>
      <w:r w:rsidR="003A07E2" w:rsidRPr="001E55B0">
        <w:rPr>
          <w:i/>
          <w:iCs/>
        </w:rPr>
        <w:t>een restaurantbezoek</w:t>
      </w:r>
      <w:r w:rsidR="003A07E2">
        <w:t xml:space="preserve">”, </w:t>
      </w:r>
      <w:r w:rsidR="004501BA">
        <w:t>aldus</w:t>
      </w:r>
      <w:r w:rsidR="003A07E2">
        <w:t xml:space="preserve"> </w:t>
      </w:r>
      <w:r w:rsidR="00396E8C">
        <w:t xml:space="preserve">Charlotte de Montpellier, economiste </w:t>
      </w:r>
      <w:r w:rsidR="00A82E48">
        <w:t>ING Belgi</w:t>
      </w:r>
      <w:r w:rsidR="00396E8C">
        <w:t>ë.</w:t>
      </w:r>
    </w:p>
    <w:p w14:paraId="6E2BD7F1" w14:textId="77777777" w:rsidR="00EE5BA1" w:rsidRDefault="00EE5BA1" w:rsidP="009A1EAF">
      <w:pPr>
        <w:pStyle w:val="Introduction"/>
      </w:pPr>
    </w:p>
    <w:p w14:paraId="660BD49A" w14:textId="6DEF6798" w:rsidR="00E279F5" w:rsidRDefault="00E62950" w:rsidP="009A1EAF">
      <w:pPr>
        <w:pStyle w:val="Introduction"/>
      </w:pPr>
      <w:r>
        <w:t xml:space="preserve">Cash krijgt steeds </w:t>
      </w:r>
      <w:r w:rsidRPr="007419CA">
        <w:t xml:space="preserve">meer concurrentie van </w:t>
      </w:r>
      <w:r w:rsidR="00CF6D95" w:rsidRPr="007419CA">
        <w:t>nieuwe</w:t>
      </w:r>
      <w:r w:rsidRPr="007419CA">
        <w:t xml:space="preserve"> betaalmiddelen,</w:t>
      </w:r>
      <w:r w:rsidR="00233EFF" w:rsidRPr="007419CA">
        <w:t xml:space="preserve"> die dankzij nieuwe technologieën voortdurend worden uitgebreid</w:t>
      </w:r>
      <w:r w:rsidRPr="007419CA">
        <w:t>. Zo zegt 70% van de Belgen</w:t>
      </w:r>
      <w:r w:rsidR="00705A09" w:rsidRPr="007419CA">
        <w:t xml:space="preserve"> minder cash te gebruiken sinds ze</w:t>
      </w:r>
      <w:r w:rsidR="00CF6D95" w:rsidRPr="007419CA">
        <w:t xml:space="preserve"> contactloos </w:t>
      </w:r>
      <w:r w:rsidR="008F1264" w:rsidRPr="007419CA">
        <w:t xml:space="preserve">kunnen </w:t>
      </w:r>
      <w:r w:rsidR="00CF6D95" w:rsidRPr="007419CA">
        <w:t>betalen.</w:t>
      </w:r>
      <w:r w:rsidR="008A0A14" w:rsidRPr="007419CA">
        <w:t xml:space="preserve"> In het totaal </w:t>
      </w:r>
      <w:r w:rsidR="001E55B0" w:rsidRPr="007419CA">
        <w:t>zeggen</w:t>
      </w:r>
      <w:r w:rsidR="008A0A14" w:rsidRPr="007419CA">
        <w:t xml:space="preserve"> bijna </w:t>
      </w:r>
      <w:r w:rsidR="001E55B0" w:rsidRPr="007419CA">
        <w:t xml:space="preserve">zes </w:t>
      </w:r>
      <w:r w:rsidR="008A0A14" w:rsidRPr="007419CA">
        <w:t xml:space="preserve">op </w:t>
      </w:r>
      <w:r w:rsidR="001E55B0" w:rsidRPr="007419CA">
        <w:t>de tien ondervraagden</w:t>
      </w:r>
      <w:r w:rsidR="008A0A14" w:rsidRPr="007419CA">
        <w:t xml:space="preserve"> (59%) in 2020 minder </w:t>
      </w:r>
      <w:r w:rsidR="008A0A14" w:rsidRPr="008A0A14">
        <w:t>contant geld te gebruiken dan een jaar geleden</w:t>
      </w:r>
      <w:r w:rsidR="008A0A14">
        <w:t>.</w:t>
      </w:r>
    </w:p>
    <w:tbl>
      <w:tblPr>
        <w:tblW w:w="0" w:type="auto"/>
        <w:tblLayout w:type="fixed"/>
        <w:tblCellMar>
          <w:left w:w="0" w:type="dxa"/>
          <w:right w:w="0" w:type="dxa"/>
        </w:tblCellMar>
        <w:tblLook w:val="0000" w:firstRow="0" w:lastRow="0" w:firstColumn="0" w:lastColumn="0" w:noHBand="0" w:noVBand="0"/>
      </w:tblPr>
      <w:tblGrid>
        <w:gridCol w:w="7143"/>
        <w:gridCol w:w="1079"/>
      </w:tblGrid>
      <w:tr w:rsidR="00E279F5" w:rsidRPr="00987D82" w14:paraId="67EC43B6" w14:textId="77777777" w:rsidTr="00987D82">
        <w:trPr>
          <w:cantSplit/>
        </w:trPr>
        <w:tc>
          <w:tcPr>
            <w:tcW w:w="8222" w:type="dxa"/>
            <w:gridSpan w:val="2"/>
            <w:tcBorders>
              <w:bottom w:val="single" w:sz="4" w:space="0" w:color="auto"/>
            </w:tcBorders>
            <w:shd w:val="clear" w:color="auto" w:fill="auto"/>
            <w:tcMar>
              <w:bottom w:w="60" w:type="dxa"/>
            </w:tcMar>
          </w:tcPr>
          <w:p w14:paraId="0EE7A687" w14:textId="54ECB996" w:rsidR="00E279F5" w:rsidRPr="00987D82" w:rsidRDefault="00987D82" w:rsidP="00E279F5">
            <w:pPr>
              <w:spacing w:before="80" w:after="0" w:line="230" w:lineRule="exact"/>
              <w:rPr>
                <w:rFonts w:ascii="ING Me" w:eastAsia="MS Gothic" w:hAnsi="ING Me" w:cs="Times New Roman"/>
                <w:b/>
                <w:color w:val="000000"/>
                <w:sz w:val="16"/>
                <w:szCs w:val="16"/>
                <w:lang w:eastAsia="en-GB"/>
              </w:rPr>
            </w:pPr>
            <w:r w:rsidRPr="00987D82">
              <w:rPr>
                <w:rFonts w:ascii="ING Me" w:eastAsia="MS Gothic" w:hAnsi="ING Me" w:cs="Times New Roman"/>
                <w:b/>
                <w:color w:val="000000"/>
                <w:sz w:val="16"/>
                <w:szCs w:val="16"/>
                <w:lang w:eastAsia="en-GB"/>
              </w:rPr>
              <w:t xml:space="preserve">Grafiek 1: </w:t>
            </w:r>
            <w:r w:rsidRPr="00987D82">
              <w:rPr>
                <w:rFonts w:ascii="ING Me" w:eastAsia="Times New Roman" w:hAnsi="ING Me" w:cs="Times New Roman"/>
                <w:b/>
                <w:color w:val="333333"/>
                <w:sz w:val="16"/>
                <w:szCs w:val="16"/>
                <w:lang w:eastAsia="en-GB"/>
              </w:rPr>
              <w:t>Bent u het eens met de volgende stelling: “Ik gebruik minder cash dan een jaar geleden”?</w:t>
            </w:r>
          </w:p>
        </w:tc>
      </w:tr>
      <w:tr w:rsidR="00E279F5" w:rsidRPr="00E279F5" w14:paraId="474F65BD" w14:textId="77777777" w:rsidTr="0082226A">
        <w:tblPrEx>
          <w:tblCellMar>
            <w:left w:w="70" w:type="dxa"/>
            <w:right w:w="70" w:type="dxa"/>
          </w:tblCellMar>
        </w:tblPrEx>
        <w:trPr>
          <w:gridAfter w:val="1"/>
          <w:wAfter w:w="1079" w:type="dxa"/>
          <w:cantSplit/>
        </w:trPr>
        <w:tc>
          <w:tcPr>
            <w:tcW w:w="7143" w:type="dxa"/>
            <w:tcBorders>
              <w:top w:val="single" w:sz="4" w:space="0" w:color="auto"/>
              <w:bottom w:val="single" w:sz="4" w:space="0" w:color="auto"/>
            </w:tcBorders>
            <w:shd w:val="clear" w:color="auto" w:fill="auto"/>
          </w:tcPr>
          <w:p w14:paraId="6DEE7F92" w14:textId="21E12247" w:rsidR="00E279F5" w:rsidRPr="00E279F5" w:rsidRDefault="00E279F5" w:rsidP="00E279F5">
            <w:pPr>
              <w:keepNext/>
              <w:keepLines/>
              <w:spacing w:after="0" w:line="240" w:lineRule="atLeast"/>
              <w:rPr>
                <w:rFonts w:ascii="ING Me" w:eastAsia="Times New Roman" w:hAnsi="ING Me" w:cs="Times New Roman"/>
                <w:bCs/>
                <w:i/>
                <w:iCs/>
                <w:noProof/>
                <w:color w:val="333333"/>
                <w:sz w:val="16"/>
                <w:szCs w:val="16"/>
                <w:lang w:eastAsia="en-GB"/>
              </w:rPr>
            </w:pPr>
          </w:p>
          <w:p w14:paraId="71A0F7CD" w14:textId="77777777" w:rsidR="00E279F5" w:rsidRPr="00E279F5" w:rsidRDefault="00E279F5" w:rsidP="00E279F5">
            <w:pPr>
              <w:keepNext/>
              <w:keepLines/>
              <w:spacing w:after="0" w:line="240" w:lineRule="atLeast"/>
              <w:rPr>
                <w:rFonts w:ascii="ING Me" w:eastAsia="Times New Roman" w:hAnsi="ING Me" w:cs="Times New Roman"/>
                <w:color w:val="333333"/>
                <w:sz w:val="12"/>
                <w:szCs w:val="12"/>
                <w:lang w:eastAsia="en-GB"/>
              </w:rPr>
            </w:pPr>
            <w:r w:rsidRPr="00E279F5">
              <w:rPr>
                <w:rFonts w:ascii="ING Me" w:eastAsia="Times New Roman" w:hAnsi="ING Me" w:cs="Times New Roman"/>
                <w:b/>
                <w:noProof/>
                <w:color w:val="333333"/>
                <w:sz w:val="18"/>
                <w:szCs w:val="18"/>
                <w:lang w:eastAsia="en-GB"/>
              </w:rPr>
              <w:drawing>
                <wp:inline distT="0" distB="0" distL="0" distR="0" wp14:anchorId="4984CA28" wp14:editId="5C7ACBF5">
                  <wp:extent cx="3975100" cy="2387600"/>
                  <wp:effectExtent l="0" t="0" r="6350" b="0"/>
                  <wp:docPr id="5" name="Chart 5">
                    <a:extLst xmlns:a="http://schemas.openxmlformats.org/drawingml/2006/main">
                      <a:ext uri="{FF2B5EF4-FFF2-40B4-BE49-F238E27FC236}">
                        <a16:creationId xmlns:a16="http://schemas.microsoft.com/office/drawing/2014/main" id="{B667E920-A29C-40B1-A067-70DBE63AEB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E279F5" w:rsidRPr="00E279F5" w14:paraId="0B8A08EB" w14:textId="77777777" w:rsidTr="0082226A">
        <w:trPr>
          <w:gridAfter w:val="1"/>
          <w:wAfter w:w="1079" w:type="dxa"/>
          <w:cantSplit/>
        </w:trPr>
        <w:tc>
          <w:tcPr>
            <w:tcW w:w="7143" w:type="dxa"/>
            <w:tcBorders>
              <w:top w:val="single" w:sz="4" w:space="0" w:color="auto"/>
            </w:tcBorders>
            <w:shd w:val="clear" w:color="auto" w:fill="auto"/>
            <w:tcMar>
              <w:top w:w="60" w:type="dxa"/>
            </w:tcMar>
          </w:tcPr>
          <w:p w14:paraId="4BFEDDA6" w14:textId="77777777" w:rsidR="00E279F5" w:rsidRPr="00E279F5" w:rsidRDefault="00E279F5" w:rsidP="00E279F5">
            <w:pPr>
              <w:spacing w:after="0"/>
              <w:jc w:val="both"/>
              <w:rPr>
                <w:rFonts w:ascii="ING Me" w:eastAsia="ING Me" w:hAnsi="ING Me" w:cs="Times New Roman"/>
                <w:sz w:val="12"/>
                <w:szCs w:val="12"/>
              </w:rPr>
            </w:pPr>
            <w:r w:rsidRPr="00E279F5">
              <w:rPr>
                <w:rFonts w:ascii="ING Me" w:eastAsia="ING Me" w:hAnsi="ING Me" w:cs="Times New Roman"/>
                <w:sz w:val="12"/>
              </w:rPr>
              <w:t>Bron: IIS (ING)</w:t>
            </w:r>
          </w:p>
        </w:tc>
      </w:tr>
    </w:tbl>
    <w:p w14:paraId="1C76FEC8" w14:textId="17D19859" w:rsidR="008A0A14" w:rsidRDefault="008A0A14" w:rsidP="009A1EAF">
      <w:pPr>
        <w:pStyle w:val="Introduction"/>
      </w:pPr>
    </w:p>
    <w:p w14:paraId="5ECE4999" w14:textId="77777777" w:rsidR="004D7EB1" w:rsidRDefault="004D7EB1" w:rsidP="009A1EAF">
      <w:pPr>
        <w:pStyle w:val="Introduction"/>
      </w:pPr>
    </w:p>
    <w:p w14:paraId="7243113A" w14:textId="0CC0E0D5" w:rsidR="00EA4209" w:rsidRDefault="001E55B0" w:rsidP="009A1EAF">
      <w:pPr>
        <w:pStyle w:val="Header2"/>
      </w:pPr>
      <w:r>
        <w:lastRenderedPageBreak/>
        <w:t xml:space="preserve">Een op de twee Belgen is terughoudender om cash te betalen </w:t>
      </w:r>
      <w:r w:rsidR="00595883">
        <w:t>sinds COVID_19</w:t>
      </w:r>
    </w:p>
    <w:p w14:paraId="12C77CF0" w14:textId="77777777" w:rsidR="00EA4209" w:rsidRDefault="00EA4209" w:rsidP="009A1EAF">
      <w:pPr>
        <w:pStyle w:val="Introduction"/>
      </w:pPr>
    </w:p>
    <w:p w14:paraId="21FC9413" w14:textId="57E2A9F5" w:rsidR="007977CC" w:rsidRDefault="00A0675E" w:rsidP="009A1EAF">
      <w:pPr>
        <w:pStyle w:val="Introduction"/>
      </w:pPr>
      <w:r w:rsidRPr="00ED529F">
        <w:t>Door</w:t>
      </w:r>
      <w:r>
        <w:t xml:space="preserve"> </w:t>
      </w:r>
      <w:r w:rsidRPr="00ED529F">
        <w:t>de</w:t>
      </w:r>
      <w:r>
        <w:t xml:space="preserve"> </w:t>
      </w:r>
      <w:r w:rsidRPr="00ED529F">
        <w:t>sluiting</w:t>
      </w:r>
      <w:r>
        <w:t xml:space="preserve"> </w:t>
      </w:r>
      <w:r w:rsidRPr="00ED529F">
        <w:t>van fysieke</w:t>
      </w:r>
      <w:r>
        <w:t xml:space="preserve"> </w:t>
      </w:r>
      <w:r w:rsidRPr="00ED529F">
        <w:t>winkels</w:t>
      </w:r>
      <w:r>
        <w:t xml:space="preserve"> </w:t>
      </w:r>
      <w:r w:rsidRPr="00ED529F">
        <w:t>tijdens</w:t>
      </w:r>
      <w:r>
        <w:t xml:space="preserve"> </w:t>
      </w:r>
      <w:r w:rsidRPr="00ED529F">
        <w:t>de</w:t>
      </w:r>
      <w:r>
        <w:t xml:space="preserve"> </w:t>
      </w:r>
      <w:r w:rsidRPr="00ED529F">
        <w:t>lockdown,</w:t>
      </w:r>
      <w:r>
        <w:t xml:space="preserve"> </w:t>
      </w:r>
      <w:r w:rsidRPr="00ED529F">
        <w:t>de</w:t>
      </w:r>
      <w:r>
        <w:t xml:space="preserve"> </w:t>
      </w:r>
      <w:r w:rsidRPr="00ED529F">
        <w:t>anderhalvemeterregel</w:t>
      </w:r>
      <w:r>
        <w:t xml:space="preserve"> </w:t>
      </w:r>
      <w:r w:rsidRPr="00ED529F">
        <w:t>en</w:t>
      </w:r>
      <w:r>
        <w:t xml:space="preserve"> </w:t>
      </w:r>
      <w:r w:rsidRPr="00ED529F">
        <w:t>de</w:t>
      </w:r>
      <w:r>
        <w:t xml:space="preserve"> angst </w:t>
      </w:r>
      <w:r w:rsidRPr="00ED529F">
        <w:t>dat bankbiljetten</w:t>
      </w:r>
      <w:r>
        <w:t xml:space="preserve"> </w:t>
      </w:r>
      <w:r w:rsidRPr="00ED529F">
        <w:t>het</w:t>
      </w:r>
      <w:r>
        <w:t xml:space="preserve"> </w:t>
      </w:r>
      <w:r w:rsidR="00472B62">
        <w:t>corona</w:t>
      </w:r>
      <w:r w:rsidRPr="00ED529F">
        <w:t>virus</w:t>
      </w:r>
      <w:r>
        <w:t xml:space="preserve"> </w:t>
      </w:r>
      <w:r w:rsidRPr="00ED529F">
        <w:t>zouden</w:t>
      </w:r>
      <w:r>
        <w:t xml:space="preserve"> </w:t>
      </w:r>
      <w:r w:rsidRPr="00ED529F">
        <w:t>overbrengen,</w:t>
      </w:r>
      <w:r>
        <w:t xml:space="preserve"> </w:t>
      </w:r>
      <w:r w:rsidR="00472B62">
        <w:t>neemt</w:t>
      </w:r>
      <w:r>
        <w:t xml:space="preserve"> </w:t>
      </w:r>
      <w:r w:rsidRPr="00ED529F">
        <w:t>het</w:t>
      </w:r>
      <w:r>
        <w:t xml:space="preserve"> </w:t>
      </w:r>
      <w:r w:rsidRPr="00ED529F">
        <w:t>gebruik</w:t>
      </w:r>
      <w:r>
        <w:t xml:space="preserve"> </w:t>
      </w:r>
      <w:r w:rsidRPr="00ED529F">
        <w:t>van</w:t>
      </w:r>
      <w:r>
        <w:t xml:space="preserve"> </w:t>
      </w:r>
      <w:r w:rsidR="007328CA">
        <w:t>contant geld</w:t>
      </w:r>
      <w:r>
        <w:t xml:space="preserve"> </w:t>
      </w:r>
      <w:r w:rsidR="00233EFF">
        <w:t>verder af</w:t>
      </w:r>
      <w:r w:rsidRPr="00ED529F">
        <w:t>.</w:t>
      </w:r>
      <w:r w:rsidR="00152398">
        <w:t xml:space="preserve"> Ruim de helft van de Belgen (</w:t>
      </w:r>
      <w:r w:rsidR="00152398" w:rsidRPr="00152398">
        <w:t>52%</w:t>
      </w:r>
      <w:r w:rsidR="00152398">
        <w:t>) zegt</w:t>
      </w:r>
      <w:r w:rsidR="00152398" w:rsidRPr="00152398">
        <w:t xml:space="preserve"> sinds het begin van de pandemie terughoudender te zijn</w:t>
      </w:r>
      <w:r w:rsidR="00DD0A9A">
        <w:t xml:space="preserve"> </w:t>
      </w:r>
      <w:r w:rsidR="00152398" w:rsidRPr="00152398">
        <w:t xml:space="preserve">met het gebruik van </w:t>
      </w:r>
      <w:r w:rsidR="007328CA">
        <w:t>cash</w:t>
      </w:r>
      <w:r w:rsidR="00152398" w:rsidRPr="00152398">
        <w:t>.</w:t>
      </w:r>
    </w:p>
    <w:p w14:paraId="546ADBE8" w14:textId="77777777" w:rsidR="007977CC" w:rsidRDefault="007977CC" w:rsidP="009A1EAF">
      <w:pPr>
        <w:pStyle w:val="Introduction"/>
      </w:pPr>
    </w:p>
    <w:p w14:paraId="3F7BB7CE" w14:textId="09C0CC8D" w:rsidR="00196E0E" w:rsidRDefault="00196E0E" w:rsidP="009A1EAF">
      <w:pPr>
        <w:pStyle w:val="Introduction"/>
      </w:pPr>
      <w:r w:rsidRPr="00196E0E">
        <w:t xml:space="preserve">Een analyse van </w:t>
      </w:r>
      <w:r w:rsidR="00480B40">
        <w:t xml:space="preserve">zo’n 20 miljoen </w:t>
      </w:r>
      <w:r w:rsidRPr="00196E0E">
        <w:t>transactie</w:t>
      </w:r>
      <w:r w:rsidR="00480B40">
        <w:t xml:space="preserve">s van ING-klanten </w:t>
      </w:r>
      <w:r w:rsidRPr="00196E0E">
        <w:t xml:space="preserve">sinds het begin van de lockdown </w:t>
      </w:r>
      <w:r w:rsidR="00464239">
        <w:t>leidt tot dezelfde vaststelling</w:t>
      </w:r>
      <w:r w:rsidRPr="00196E0E">
        <w:t xml:space="preserve">. </w:t>
      </w:r>
      <w:r w:rsidR="00D40E34">
        <w:t>“</w:t>
      </w:r>
      <w:r w:rsidRPr="009A1EAF">
        <w:rPr>
          <w:i/>
          <w:iCs/>
        </w:rPr>
        <w:t>Van begin maart tot eind augustus</w:t>
      </w:r>
      <w:r w:rsidR="00A81AB8" w:rsidRPr="009A1EAF">
        <w:rPr>
          <w:i/>
          <w:iCs/>
        </w:rPr>
        <w:t xml:space="preserve"> </w:t>
      </w:r>
      <w:r w:rsidRPr="009A1EAF">
        <w:rPr>
          <w:i/>
          <w:iCs/>
        </w:rPr>
        <w:t>2020 daalde het gebruik van geldautomaten</w:t>
      </w:r>
      <w:r w:rsidR="007419CA">
        <w:rPr>
          <w:i/>
          <w:iCs/>
        </w:rPr>
        <w:t xml:space="preserve"> om cash af te halen</w:t>
      </w:r>
      <w:r w:rsidRPr="009A1EAF">
        <w:rPr>
          <w:i/>
          <w:iCs/>
        </w:rPr>
        <w:t xml:space="preserve"> in België met 43% en het opgenomen bedrag met 36% tegenover dezelfde periode in 2019</w:t>
      </w:r>
      <w:r w:rsidR="00A81AB8">
        <w:t>”</w:t>
      </w:r>
      <w:r w:rsidR="001E55B0">
        <w:t>,</w:t>
      </w:r>
      <w:r w:rsidR="001E55B0">
        <w:rPr>
          <w:color w:val="FF0000"/>
        </w:rPr>
        <w:t xml:space="preserve"> </w:t>
      </w:r>
      <w:r w:rsidR="001E55B0" w:rsidRPr="009A1EAF">
        <w:t xml:space="preserve">zegt </w:t>
      </w:r>
      <w:r w:rsidR="00396E8C">
        <w:t>de Montpellier</w:t>
      </w:r>
      <w:r w:rsidR="001E55B0" w:rsidRPr="009A1EAF">
        <w:t>.</w:t>
      </w:r>
      <w:r w:rsidR="00603AF1" w:rsidRPr="009A1EAF">
        <w:t xml:space="preserve"> </w:t>
      </w:r>
      <w:r w:rsidR="00603AF1" w:rsidRPr="00603AF1">
        <w:t>Hoewel</w:t>
      </w:r>
      <w:r w:rsidR="00603AF1">
        <w:t xml:space="preserve"> </w:t>
      </w:r>
      <w:r w:rsidR="00603AF1" w:rsidRPr="00603AF1">
        <w:t>minder</w:t>
      </w:r>
      <w:r w:rsidR="00603AF1">
        <w:t xml:space="preserve"> </w:t>
      </w:r>
      <w:r w:rsidR="00603AF1" w:rsidRPr="00603AF1">
        <w:t>uitgesproken</w:t>
      </w:r>
      <w:r w:rsidR="00603AF1">
        <w:t xml:space="preserve"> </w:t>
      </w:r>
      <w:r w:rsidR="00603AF1" w:rsidRPr="00603AF1">
        <w:t>dan</w:t>
      </w:r>
      <w:r w:rsidR="00603AF1">
        <w:t xml:space="preserve"> </w:t>
      </w:r>
      <w:r w:rsidR="00F75050">
        <w:t>tijdens</w:t>
      </w:r>
      <w:r w:rsidR="00603AF1">
        <w:t xml:space="preserve"> </w:t>
      </w:r>
      <w:r w:rsidR="00603AF1" w:rsidRPr="00603AF1">
        <w:t>de</w:t>
      </w:r>
      <w:r w:rsidR="00603AF1">
        <w:t xml:space="preserve"> </w:t>
      </w:r>
      <w:r w:rsidR="00603AF1" w:rsidRPr="00603AF1">
        <w:t>strikte lockdown,</w:t>
      </w:r>
      <w:r w:rsidR="00603AF1">
        <w:t xml:space="preserve"> </w:t>
      </w:r>
      <w:r w:rsidR="00603AF1" w:rsidRPr="00603AF1">
        <w:t>was</w:t>
      </w:r>
      <w:r w:rsidR="00603AF1">
        <w:t xml:space="preserve"> </w:t>
      </w:r>
      <w:r w:rsidR="00603AF1" w:rsidRPr="00603AF1">
        <w:t>deze</w:t>
      </w:r>
      <w:r w:rsidR="00603AF1">
        <w:t xml:space="preserve"> </w:t>
      </w:r>
      <w:r w:rsidR="00603AF1" w:rsidRPr="00603AF1">
        <w:t>trend</w:t>
      </w:r>
      <w:r w:rsidR="00603AF1">
        <w:t xml:space="preserve"> </w:t>
      </w:r>
      <w:r w:rsidR="00603AF1" w:rsidRPr="00603AF1">
        <w:t>in</w:t>
      </w:r>
      <w:r w:rsidR="00603AF1">
        <w:t xml:space="preserve"> </w:t>
      </w:r>
      <w:r w:rsidR="00603AF1" w:rsidRPr="00603AF1">
        <w:t>augustus</w:t>
      </w:r>
      <w:r w:rsidR="00603AF1">
        <w:t xml:space="preserve"> </w:t>
      </w:r>
      <w:r w:rsidR="00603AF1" w:rsidRPr="00603AF1">
        <w:t>nog</w:t>
      </w:r>
      <w:r w:rsidR="00603AF1">
        <w:t xml:space="preserve"> </w:t>
      </w:r>
      <w:r w:rsidR="00603AF1" w:rsidRPr="00603AF1">
        <w:t>steeds</w:t>
      </w:r>
      <w:r w:rsidR="00603AF1">
        <w:t xml:space="preserve"> </w:t>
      </w:r>
      <w:r w:rsidR="00603AF1" w:rsidRPr="00603AF1">
        <w:t>sterk</w:t>
      </w:r>
      <w:r w:rsidR="00603AF1">
        <w:t xml:space="preserve"> </w:t>
      </w:r>
      <w:r w:rsidR="00603AF1" w:rsidRPr="00603AF1">
        <w:t>aanwezig,</w:t>
      </w:r>
      <w:r w:rsidR="00603AF1">
        <w:t xml:space="preserve"> </w:t>
      </w:r>
      <w:r w:rsidR="00603AF1" w:rsidRPr="00603AF1">
        <w:t>ondanks</w:t>
      </w:r>
      <w:r w:rsidR="00603AF1">
        <w:t xml:space="preserve"> </w:t>
      </w:r>
      <w:r w:rsidR="00603AF1" w:rsidRPr="00603AF1">
        <w:t>de heropening</w:t>
      </w:r>
      <w:r w:rsidR="00603AF1">
        <w:t xml:space="preserve"> </w:t>
      </w:r>
      <w:r w:rsidR="00603AF1" w:rsidRPr="00603AF1">
        <w:t>van</w:t>
      </w:r>
      <w:r w:rsidR="00603AF1">
        <w:t xml:space="preserve"> </w:t>
      </w:r>
      <w:r w:rsidR="00603AF1" w:rsidRPr="00603AF1">
        <w:t>winkels</w:t>
      </w:r>
      <w:r w:rsidR="00603AF1">
        <w:t xml:space="preserve"> </w:t>
      </w:r>
      <w:r w:rsidR="00603AF1" w:rsidRPr="00603AF1">
        <w:t>en</w:t>
      </w:r>
      <w:r w:rsidR="00603AF1">
        <w:t xml:space="preserve"> </w:t>
      </w:r>
      <w:r w:rsidR="00603AF1" w:rsidRPr="00603AF1">
        <w:t>restaurants.</w:t>
      </w:r>
      <w:r w:rsidR="00603AF1">
        <w:t xml:space="preserve"> </w:t>
      </w:r>
      <w:r w:rsidR="00603AF1" w:rsidRPr="00603AF1">
        <w:t>In</w:t>
      </w:r>
      <w:r w:rsidR="00603AF1">
        <w:t xml:space="preserve"> </w:t>
      </w:r>
      <w:r w:rsidR="00603AF1" w:rsidRPr="00603AF1">
        <w:t>de</w:t>
      </w:r>
      <w:r w:rsidR="00603AF1">
        <w:t xml:space="preserve"> </w:t>
      </w:r>
      <w:r w:rsidR="00603AF1" w:rsidRPr="00603AF1">
        <w:t>loop</w:t>
      </w:r>
      <w:r w:rsidR="00603AF1">
        <w:t xml:space="preserve"> </w:t>
      </w:r>
      <w:r w:rsidR="00603AF1" w:rsidRPr="00603AF1">
        <w:t>van</w:t>
      </w:r>
      <w:r w:rsidR="00603AF1">
        <w:t xml:space="preserve"> </w:t>
      </w:r>
      <w:r w:rsidR="00603AF1" w:rsidRPr="00603AF1">
        <w:t>de</w:t>
      </w:r>
      <w:r w:rsidR="00603AF1">
        <w:t xml:space="preserve"> </w:t>
      </w:r>
      <w:r w:rsidR="00603AF1" w:rsidRPr="00603AF1">
        <w:t>maand</w:t>
      </w:r>
      <w:r w:rsidR="00603AF1">
        <w:t xml:space="preserve"> </w:t>
      </w:r>
      <w:r w:rsidR="00603AF1" w:rsidRPr="00603AF1">
        <w:t>nam</w:t>
      </w:r>
      <w:r w:rsidR="003D1CCA">
        <w:t>en</w:t>
      </w:r>
      <w:r w:rsidR="00603AF1" w:rsidRPr="00603AF1">
        <w:t xml:space="preserve"> consument</w:t>
      </w:r>
      <w:r w:rsidR="003D1CCA">
        <w:t>en</w:t>
      </w:r>
      <w:r w:rsidR="00603AF1" w:rsidRPr="00603AF1">
        <w:t xml:space="preserve"> 25% minder </w:t>
      </w:r>
      <w:r w:rsidR="00A81AB8">
        <w:t>cash</w:t>
      </w:r>
      <w:r w:rsidR="00603AF1" w:rsidRPr="00603AF1">
        <w:t xml:space="preserve"> op dan in 2019</w:t>
      </w:r>
      <w:r w:rsidR="00A81AB8">
        <w:t>.</w:t>
      </w:r>
    </w:p>
    <w:p w14:paraId="2F317E8A" w14:textId="77777777" w:rsidR="00196E0E" w:rsidRDefault="00196E0E" w:rsidP="009A1EAF">
      <w:pPr>
        <w:pStyle w:val="Introduction"/>
      </w:pPr>
    </w:p>
    <w:p w14:paraId="048C4E56" w14:textId="58606460" w:rsidR="008A0A14" w:rsidRPr="00595883" w:rsidRDefault="00F44129" w:rsidP="009A1EAF">
      <w:pPr>
        <w:pStyle w:val="Header2"/>
      </w:pPr>
      <w:r w:rsidRPr="00595883">
        <w:t xml:space="preserve">Toch </w:t>
      </w:r>
      <w:r w:rsidR="006C1208" w:rsidRPr="00595883">
        <w:t>is</w:t>
      </w:r>
      <w:r w:rsidRPr="00595883">
        <w:t xml:space="preserve"> c</w:t>
      </w:r>
      <w:r w:rsidR="00356BDA" w:rsidRPr="00595883">
        <w:t xml:space="preserve">ash </w:t>
      </w:r>
      <w:r w:rsidR="006C1208" w:rsidRPr="00595883">
        <w:t>nog niet dood</w:t>
      </w:r>
    </w:p>
    <w:p w14:paraId="6CA3BA15" w14:textId="6026B50F" w:rsidR="000F5118" w:rsidRDefault="000F5118" w:rsidP="009A1EAF">
      <w:pPr>
        <w:pStyle w:val="Introduction"/>
      </w:pPr>
    </w:p>
    <w:p w14:paraId="284EBE74" w14:textId="6D43D4B8" w:rsidR="00CF6DD4" w:rsidRDefault="00356BDA" w:rsidP="009A1EAF">
      <w:pPr>
        <w:pStyle w:val="Introduction"/>
      </w:pPr>
      <w:r>
        <w:t xml:space="preserve">Cash </w:t>
      </w:r>
      <w:r w:rsidR="00F677E5">
        <w:t>verliest dan wel langzaam zijn koppositie als favoriet</w:t>
      </w:r>
      <w:r w:rsidR="0079003D">
        <w:t>e</w:t>
      </w:r>
      <w:r w:rsidR="00F677E5">
        <w:t xml:space="preserve"> betaalmiddel</w:t>
      </w:r>
      <w:r w:rsidR="00E00DA1">
        <w:t xml:space="preserve">, het is nog lang niet verdwenen. </w:t>
      </w:r>
      <w:r w:rsidR="00CF6DD4">
        <w:t>In eerste inst</w:t>
      </w:r>
      <w:r w:rsidR="005753E8">
        <w:t xml:space="preserve">antie blijft contant geld </w:t>
      </w:r>
      <w:r w:rsidR="002C68B0">
        <w:t xml:space="preserve">opvallend </w:t>
      </w:r>
      <w:r w:rsidR="005753E8">
        <w:t xml:space="preserve">populair voor kleine voedingsuitgaven zoals een </w:t>
      </w:r>
      <w:r w:rsidR="002C68B0">
        <w:t>lunch, snack of koffie, als zakgeld voor k</w:t>
      </w:r>
      <w:r w:rsidR="00BB59F9">
        <w:t>i</w:t>
      </w:r>
      <w:r w:rsidR="002C68B0">
        <w:t xml:space="preserve">nderen en als betaalmiddel </w:t>
      </w:r>
      <w:r w:rsidR="00BB59F9">
        <w:t>in de taxi.</w:t>
      </w:r>
    </w:p>
    <w:p w14:paraId="5E448B35" w14:textId="77777777" w:rsidR="00E279F5" w:rsidRDefault="00E279F5" w:rsidP="009A1EAF">
      <w:pPr>
        <w:pStyle w:val="Introduction"/>
      </w:pPr>
    </w:p>
    <w:tbl>
      <w:tblPr>
        <w:tblW w:w="0" w:type="auto"/>
        <w:tblLayout w:type="fixed"/>
        <w:tblCellMar>
          <w:left w:w="0" w:type="dxa"/>
          <w:right w:w="0" w:type="dxa"/>
        </w:tblCellMar>
        <w:tblLook w:val="0000" w:firstRow="0" w:lastRow="0" w:firstColumn="0" w:lastColumn="0" w:noHBand="0" w:noVBand="0"/>
      </w:tblPr>
      <w:tblGrid>
        <w:gridCol w:w="7143"/>
      </w:tblGrid>
      <w:tr w:rsidR="00E279F5" w:rsidRPr="00E279F5" w14:paraId="52D7181B" w14:textId="77777777" w:rsidTr="0082226A">
        <w:trPr>
          <w:cantSplit/>
        </w:trPr>
        <w:tc>
          <w:tcPr>
            <w:tcW w:w="7143" w:type="dxa"/>
            <w:tcBorders>
              <w:bottom w:val="single" w:sz="4" w:space="0" w:color="auto"/>
            </w:tcBorders>
            <w:shd w:val="clear" w:color="auto" w:fill="auto"/>
            <w:tcMar>
              <w:bottom w:w="60" w:type="dxa"/>
            </w:tcMar>
          </w:tcPr>
          <w:p w14:paraId="350D1B25" w14:textId="0CE74A0F" w:rsidR="00E279F5" w:rsidRPr="00E279F5" w:rsidRDefault="00E279F5" w:rsidP="00E279F5">
            <w:pPr>
              <w:spacing w:before="80" w:after="0" w:line="230" w:lineRule="exact"/>
              <w:rPr>
                <w:rFonts w:ascii="ING Me" w:eastAsia="MS Gothic" w:hAnsi="ING Me" w:cs="Times New Roman"/>
                <w:b/>
                <w:color w:val="000000"/>
                <w:sz w:val="18"/>
                <w:lang w:eastAsia="en-GB"/>
              </w:rPr>
            </w:pPr>
            <w:r w:rsidRPr="00E279F5">
              <w:rPr>
                <w:rFonts w:ascii="ING Me" w:eastAsia="MS Gothic" w:hAnsi="ING Me" w:cs="Times New Roman"/>
                <w:b/>
                <w:color w:val="000000"/>
                <w:sz w:val="18"/>
                <w:lang w:eastAsia="en-GB"/>
              </w:rPr>
              <w:t>Gr</w:t>
            </w:r>
            <w:r w:rsidR="00B70E4F">
              <w:rPr>
                <w:rFonts w:ascii="ING Me" w:eastAsia="MS Gothic" w:hAnsi="ING Me" w:cs="Times New Roman"/>
                <w:b/>
                <w:color w:val="000000"/>
                <w:sz w:val="18"/>
                <w:lang w:eastAsia="en-GB"/>
              </w:rPr>
              <w:t>afiek 2</w:t>
            </w:r>
            <w:r w:rsidR="004D7EB1">
              <w:rPr>
                <w:rFonts w:ascii="ING Me" w:eastAsia="MS Gothic" w:hAnsi="ING Me" w:cs="Times New Roman"/>
                <w:b/>
                <w:color w:val="000000"/>
                <w:sz w:val="18"/>
                <w:lang w:eastAsia="en-GB"/>
              </w:rPr>
              <w:t xml:space="preserve">: </w:t>
            </w:r>
            <w:r w:rsidR="00B21E16">
              <w:rPr>
                <w:rFonts w:ascii="ING Me" w:eastAsia="MS Gothic" w:hAnsi="ING Me" w:cs="Times New Roman"/>
                <w:b/>
                <w:color w:val="000000"/>
                <w:sz w:val="18"/>
                <w:lang w:eastAsia="en-GB"/>
              </w:rPr>
              <w:t>Hoe betaalt u gewoonlijk voor …. (België)?</w:t>
            </w:r>
          </w:p>
        </w:tc>
      </w:tr>
      <w:tr w:rsidR="00E279F5" w:rsidRPr="00E279F5" w14:paraId="34B23A84" w14:textId="77777777" w:rsidTr="0082226A">
        <w:tblPrEx>
          <w:tblCellMar>
            <w:left w:w="70" w:type="dxa"/>
            <w:right w:w="70" w:type="dxa"/>
          </w:tblCellMar>
        </w:tblPrEx>
        <w:trPr>
          <w:cantSplit/>
        </w:trPr>
        <w:tc>
          <w:tcPr>
            <w:tcW w:w="7143" w:type="dxa"/>
            <w:tcBorders>
              <w:top w:val="single" w:sz="4" w:space="0" w:color="auto"/>
              <w:bottom w:val="single" w:sz="4" w:space="0" w:color="auto"/>
            </w:tcBorders>
            <w:shd w:val="clear" w:color="auto" w:fill="auto"/>
          </w:tcPr>
          <w:p w14:paraId="20C4B075" w14:textId="77777777" w:rsidR="00E279F5" w:rsidRPr="00E279F5" w:rsidRDefault="00E279F5" w:rsidP="00E279F5">
            <w:pPr>
              <w:keepNext/>
              <w:keepLines/>
              <w:spacing w:after="0" w:line="240" w:lineRule="atLeast"/>
              <w:rPr>
                <w:rFonts w:ascii="ING Me" w:eastAsia="Times New Roman" w:hAnsi="ING Me" w:cs="Times New Roman"/>
                <w:color w:val="333333"/>
                <w:sz w:val="12"/>
                <w:szCs w:val="12"/>
                <w:lang w:eastAsia="en-GB"/>
              </w:rPr>
            </w:pPr>
            <w:r w:rsidRPr="00E279F5">
              <w:rPr>
                <w:rFonts w:ascii="ING Me" w:eastAsia="Times New Roman" w:hAnsi="ING Me" w:cs="Times New Roman"/>
                <w:b/>
                <w:noProof/>
                <w:color w:val="333333"/>
                <w:sz w:val="18"/>
                <w:szCs w:val="18"/>
                <w:lang w:eastAsia="en-GB"/>
              </w:rPr>
              <w:drawing>
                <wp:inline distT="0" distB="0" distL="0" distR="0" wp14:anchorId="13B9F6D8" wp14:editId="1408C516">
                  <wp:extent cx="4352925" cy="3057525"/>
                  <wp:effectExtent l="0" t="0" r="0" b="0"/>
                  <wp:docPr id="12" name="Chart 12">
                    <a:extLst xmlns:a="http://schemas.openxmlformats.org/drawingml/2006/main">
                      <a:ext uri="{FF2B5EF4-FFF2-40B4-BE49-F238E27FC236}">
                        <a16:creationId xmlns:a16="http://schemas.microsoft.com/office/drawing/2014/main" id="{730DB033-1015-4833-A981-F103E461B1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E279F5" w:rsidRPr="00E279F5" w14:paraId="08D2A2BE" w14:textId="77777777" w:rsidTr="0082226A">
        <w:trPr>
          <w:cantSplit/>
        </w:trPr>
        <w:tc>
          <w:tcPr>
            <w:tcW w:w="7143" w:type="dxa"/>
            <w:tcBorders>
              <w:top w:val="single" w:sz="4" w:space="0" w:color="auto"/>
            </w:tcBorders>
            <w:shd w:val="clear" w:color="auto" w:fill="auto"/>
            <w:tcMar>
              <w:top w:w="60" w:type="dxa"/>
            </w:tcMar>
          </w:tcPr>
          <w:p w14:paraId="347BB4C4" w14:textId="77777777" w:rsidR="00E279F5" w:rsidRPr="00E279F5" w:rsidRDefault="00E279F5" w:rsidP="00E279F5">
            <w:pPr>
              <w:spacing w:after="0"/>
              <w:jc w:val="both"/>
              <w:rPr>
                <w:rFonts w:ascii="ING Me" w:eastAsia="ING Me" w:hAnsi="ING Me" w:cs="Times New Roman"/>
                <w:sz w:val="12"/>
                <w:szCs w:val="12"/>
              </w:rPr>
            </w:pPr>
            <w:r w:rsidRPr="00E279F5">
              <w:rPr>
                <w:rFonts w:ascii="ING Me" w:eastAsia="ING Me" w:hAnsi="ING Me" w:cs="Times New Roman"/>
                <w:sz w:val="12"/>
              </w:rPr>
              <w:t>Bron: IIS (ING)</w:t>
            </w:r>
          </w:p>
        </w:tc>
      </w:tr>
    </w:tbl>
    <w:p w14:paraId="5778850A" w14:textId="496ED419" w:rsidR="00BB59F9" w:rsidRDefault="00BB59F9" w:rsidP="009A1EAF">
      <w:pPr>
        <w:pStyle w:val="Introduction"/>
      </w:pPr>
    </w:p>
    <w:p w14:paraId="735F487C" w14:textId="1CA74413" w:rsidR="00E81C83" w:rsidRDefault="0079003D" w:rsidP="009A1EAF">
      <w:pPr>
        <w:pStyle w:val="Introduction"/>
      </w:pPr>
      <w:r>
        <w:t>Bankbiljetten blijven</w:t>
      </w:r>
      <w:r w:rsidR="00FF59EA">
        <w:t xml:space="preserve"> ook</w:t>
      </w:r>
      <w:r w:rsidR="00BF60B9">
        <w:t xml:space="preserve"> </w:t>
      </w:r>
      <w:r w:rsidR="006B435B">
        <w:t>het uitverkoren betaal</w:t>
      </w:r>
      <w:r w:rsidR="00533F77">
        <w:t>middel</w:t>
      </w:r>
      <w:r w:rsidR="00E962EB">
        <w:t xml:space="preserve"> </w:t>
      </w:r>
      <w:r w:rsidR="005E7E84">
        <w:t xml:space="preserve">in de zwarte </w:t>
      </w:r>
      <w:r w:rsidR="00F07F97">
        <w:t xml:space="preserve">of informele </w:t>
      </w:r>
      <w:r w:rsidR="005E7E84">
        <w:t>economie</w:t>
      </w:r>
      <w:r w:rsidR="000116F1">
        <w:t xml:space="preserve">, dankzij </w:t>
      </w:r>
      <w:r w:rsidR="0034684C">
        <w:t>hun</w:t>
      </w:r>
      <w:r w:rsidR="000116F1">
        <w:t xml:space="preserve"> anonieme karakter</w:t>
      </w:r>
      <w:r w:rsidR="00FF59EA">
        <w:t>.</w:t>
      </w:r>
      <w:r w:rsidR="000116F1">
        <w:t xml:space="preserve"> Tot slot</w:t>
      </w:r>
      <w:r w:rsidR="005E7E84">
        <w:t xml:space="preserve"> </w:t>
      </w:r>
      <w:r w:rsidR="004501BA">
        <w:t xml:space="preserve">is ook de rol van cash als </w:t>
      </w:r>
      <w:r w:rsidR="0089357F">
        <w:t>reserve</w:t>
      </w:r>
      <w:r w:rsidR="004501BA">
        <w:t xml:space="preserve"> niet te </w:t>
      </w:r>
      <w:r w:rsidR="004501BA">
        <w:lastRenderedPageBreak/>
        <w:t xml:space="preserve">verwaarlozen. </w:t>
      </w:r>
      <w:r w:rsidR="000C060A">
        <w:t>D</w:t>
      </w:r>
      <w:r w:rsidR="004501BA">
        <w:t xml:space="preserve">e </w:t>
      </w:r>
      <w:r w:rsidR="003A0683">
        <w:t>Europese Centrale Bank (ECB)</w:t>
      </w:r>
      <w:r w:rsidR="00B128FC">
        <w:rPr>
          <w:rStyle w:val="Voetnootmarkering"/>
        </w:rPr>
        <w:footnoteReference w:id="3"/>
      </w:r>
      <w:r w:rsidR="003A0683">
        <w:t xml:space="preserve"> </w:t>
      </w:r>
      <w:r w:rsidR="000C060A" w:rsidRPr="000C060A">
        <w:t>schat dat meer dan</w:t>
      </w:r>
      <w:r w:rsidR="000C060A">
        <w:t xml:space="preserve"> </w:t>
      </w:r>
      <w:r w:rsidR="000C060A" w:rsidRPr="000C060A">
        <w:t>een</w:t>
      </w:r>
      <w:r w:rsidR="000C060A">
        <w:t xml:space="preserve"> </w:t>
      </w:r>
      <w:r w:rsidR="000C060A" w:rsidRPr="000C060A">
        <w:t>derde</w:t>
      </w:r>
      <w:r w:rsidR="000C060A">
        <w:t xml:space="preserve"> </w:t>
      </w:r>
      <w:r w:rsidR="000C060A" w:rsidRPr="000C060A">
        <w:t>van</w:t>
      </w:r>
      <w:r w:rsidR="000C060A">
        <w:t xml:space="preserve"> </w:t>
      </w:r>
      <w:r w:rsidR="000C060A" w:rsidRPr="000C060A">
        <w:t>de</w:t>
      </w:r>
      <w:r w:rsidR="000C060A">
        <w:t xml:space="preserve"> </w:t>
      </w:r>
      <w:r w:rsidR="000C060A" w:rsidRPr="000C060A">
        <w:t>eurobankbiljetten</w:t>
      </w:r>
      <w:r w:rsidR="000C060A">
        <w:t xml:space="preserve"> </w:t>
      </w:r>
      <w:r w:rsidR="000C060A" w:rsidRPr="000C060A">
        <w:t>in</w:t>
      </w:r>
      <w:r w:rsidR="000C060A">
        <w:t xml:space="preserve"> </w:t>
      </w:r>
      <w:r w:rsidR="000C060A" w:rsidRPr="000C060A">
        <w:t>omloop</w:t>
      </w:r>
      <w:r w:rsidR="000C060A">
        <w:t xml:space="preserve"> </w:t>
      </w:r>
      <w:r w:rsidR="000C060A" w:rsidRPr="000C060A">
        <w:t>wordt</w:t>
      </w:r>
      <w:r w:rsidR="000C060A">
        <w:t xml:space="preserve"> </w:t>
      </w:r>
      <w:r w:rsidR="000C060A" w:rsidRPr="000C060A">
        <w:t>gebruikt</w:t>
      </w:r>
      <w:r w:rsidR="000C060A">
        <w:t xml:space="preserve"> </w:t>
      </w:r>
      <w:r w:rsidR="000C060A" w:rsidRPr="000C060A">
        <w:t xml:space="preserve">als </w:t>
      </w:r>
      <w:r w:rsidR="00DD1214">
        <w:t>spaar</w:t>
      </w:r>
      <w:r w:rsidR="000C060A" w:rsidRPr="000C060A">
        <w:t>middel</w:t>
      </w:r>
      <w:r w:rsidR="000C060A">
        <w:t xml:space="preserve"> </w:t>
      </w:r>
      <w:r w:rsidR="000C060A" w:rsidRPr="000C060A">
        <w:t>binnen</w:t>
      </w:r>
      <w:r w:rsidR="000C060A">
        <w:t xml:space="preserve"> </w:t>
      </w:r>
      <w:r w:rsidR="000C060A" w:rsidRPr="000C060A">
        <w:t>het</w:t>
      </w:r>
      <w:r w:rsidR="000C060A">
        <w:t xml:space="preserve"> </w:t>
      </w:r>
      <w:r w:rsidR="000C060A" w:rsidRPr="000C060A">
        <w:t>eurogebied.</w:t>
      </w:r>
    </w:p>
    <w:p w14:paraId="12B3A841" w14:textId="114A8EE5" w:rsidR="008957E0" w:rsidRDefault="008957E0" w:rsidP="009A1EAF">
      <w:pPr>
        <w:pStyle w:val="Introduction"/>
      </w:pPr>
    </w:p>
    <w:p w14:paraId="72E56311" w14:textId="0E83140C" w:rsidR="00847D9E" w:rsidRDefault="008957E0" w:rsidP="009A1EAF">
      <w:pPr>
        <w:pStyle w:val="Introduction"/>
      </w:pPr>
      <w:r>
        <w:t>“</w:t>
      </w:r>
      <w:r w:rsidR="00705AA9" w:rsidRPr="009A1EAF">
        <w:rPr>
          <w:i/>
          <w:iCs/>
        </w:rPr>
        <w:t xml:space="preserve">De opkomst van nieuwe technologieën kan koning cash in de toekomst van de troon stoten als betaalmiddel, maar voor andere functies is zijn heerschappij nog niet bedreigd. Het is dus onwaarschijnlijk dat </w:t>
      </w:r>
      <w:r w:rsidR="00C16665" w:rsidRPr="009A1EAF">
        <w:rPr>
          <w:i/>
          <w:iCs/>
        </w:rPr>
        <w:t>de</w:t>
      </w:r>
      <w:r w:rsidR="00705AA9" w:rsidRPr="009A1EAF">
        <w:rPr>
          <w:i/>
          <w:iCs/>
        </w:rPr>
        <w:t xml:space="preserve"> </w:t>
      </w:r>
      <w:r w:rsidR="00BB2982" w:rsidRPr="009A1EAF">
        <w:rPr>
          <w:i/>
          <w:iCs/>
        </w:rPr>
        <w:t>post-corona</w:t>
      </w:r>
      <w:r w:rsidR="00C16665" w:rsidRPr="009A1EAF">
        <w:rPr>
          <w:i/>
          <w:iCs/>
        </w:rPr>
        <w:t>maatschappij</w:t>
      </w:r>
      <w:r w:rsidR="00705AA9" w:rsidRPr="009A1EAF">
        <w:rPr>
          <w:i/>
          <w:iCs/>
        </w:rPr>
        <w:t xml:space="preserve"> er een zonder cash zal zijn</w:t>
      </w:r>
      <w:r>
        <w:t xml:space="preserve">”, besluit </w:t>
      </w:r>
      <w:r w:rsidR="00396E8C">
        <w:t>de Montpellier.</w:t>
      </w:r>
    </w:p>
    <w:p w14:paraId="72593481" w14:textId="77777777" w:rsidR="007F3B0E" w:rsidRPr="0054002D" w:rsidRDefault="007F3B0E" w:rsidP="009A1EAF">
      <w:pPr>
        <w:pStyle w:val="Introduction"/>
      </w:pPr>
    </w:p>
    <w:sectPr w:rsidR="007F3B0E" w:rsidRPr="0054002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9C748" w14:textId="77777777" w:rsidR="00F14478" w:rsidRDefault="00F14478" w:rsidP="0033678B">
      <w:pPr>
        <w:spacing w:after="0" w:line="240" w:lineRule="auto"/>
      </w:pPr>
      <w:r>
        <w:separator/>
      </w:r>
    </w:p>
  </w:endnote>
  <w:endnote w:type="continuationSeparator" w:id="0">
    <w:p w14:paraId="4C51E810" w14:textId="77777777" w:rsidR="00F14478" w:rsidRDefault="00F14478" w:rsidP="0033678B">
      <w:pPr>
        <w:spacing w:after="0" w:line="240" w:lineRule="auto"/>
      </w:pPr>
      <w:r>
        <w:continuationSeparator/>
      </w:r>
    </w:p>
  </w:endnote>
  <w:endnote w:type="continuationNotice" w:id="1">
    <w:p w14:paraId="32920175" w14:textId="77777777" w:rsidR="00F14478" w:rsidRDefault="00F144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G Me">
    <w:panose1 w:val="02000506040000020004"/>
    <w:charset w:val="00"/>
    <w:family w:val="auto"/>
    <w:pitch w:val="variable"/>
    <w:sig w:usb0="A10002AF" w:usb1="5000607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Arabic">
    <w:altName w:val="Times New Roman"/>
    <w:charset w:val="00"/>
    <w:family w:val="auto"/>
    <w:pitch w:val="variable"/>
    <w:sig w:usb0="00000000" w:usb1="8000A04A" w:usb2="00000008" w:usb3="00000000" w:csb0="00000041" w:csb1="00000000"/>
  </w:font>
  <w:font w:name="INGM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B15A" w14:textId="77777777" w:rsidR="006F47F1" w:rsidRDefault="006F47F1" w:rsidP="0033678B">
    <w:pPr>
      <w:pStyle w:val="Voettekst"/>
      <w:jc w:val="right"/>
    </w:pPr>
    <w:r>
      <w:rPr>
        <w:noProof/>
        <w:lang w:val="en-US"/>
      </w:rPr>
      <mc:AlternateContent>
        <mc:Choice Requires="wps">
          <w:drawing>
            <wp:anchor distT="0" distB="0" distL="114300" distR="114300" simplePos="0" relativeHeight="251660288" behindDoc="0" locked="0" layoutInCell="1" allowOverlap="1" wp14:anchorId="2746AAEF" wp14:editId="5D18597B">
              <wp:simplePos x="0" y="0"/>
              <wp:positionH relativeFrom="page">
                <wp:posOffset>612140</wp:posOffset>
              </wp:positionH>
              <wp:positionV relativeFrom="page">
                <wp:posOffset>10090150</wp:posOffset>
              </wp:positionV>
              <wp:extent cx="6116320" cy="368300"/>
              <wp:effectExtent l="0" t="0" r="0" b="12700"/>
              <wp:wrapThrough wrapText="bothSides">
                <wp:wrapPolygon edited="0">
                  <wp:start x="90" y="0"/>
                  <wp:lineTo x="90" y="20855"/>
                  <wp:lineTo x="21439" y="20855"/>
                  <wp:lineTo x="21439" y="0"/>
                  <wp:lineTo x="90" y="0"/>
                </wp:wrapPolygon>
              </wp:wrapThrough>
              <wp:docPr id="2" name="Text Box 2"/>
              <wp:cNvGraphicFramePr/>
              <a:graphic xmlns:a="http://schemas.openxmlformats.org/drawingml/2006/main">
                <a:graphicData uri="http://schemas.microsoft.com/office/word/2010/wordprocessingShape">
                  <wps:wsp>
                    <wps:cNvSpPr txBox="1"/>
                    <wps:spPr>
                      <a:xfrm>
                        <a:off x="0" y="0"/>
                        <a:ext cx="6116320" cy="3683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1C0E7E6B" w14:textId="77777777" w:rsidR="006F47F1" w:rsidRDefault="006F47F1" w:rsidP="0033678B">
                          <w:pPr>
                            <w:pStyle w:val="Baseline"/>
                          </w:pPr>
                          <w:r w:rsidRPr="00D574F5">
                            <w:t>IN</w:t>
                          </w:r>
                          <w:r>
                            <w:t xml:space="preserve">G Belgium SA/NV – </w:t>
                          </w:r>
                          <w:r w:rsidRPr="00D574F5">
                            <w:t>Avenue Marnix 24, B–1000 Brussels – Brussels RPM/RPR – VAT</w:t>
                          </w:r>
                          <w:r w:rsidRPr="00D574F5">
                            <w:rPr>
                              <w:rFonts w:ascii="Adobe Arabic" w:hAnsi="Adobe Arabic" w:cs="Adobe Arabic"/>
                            </w:rPr>
                            <w:t> </w:t>
                          </w:r>
                          <w:r>
                            <w:t>: BE 0403 200 393</w:t>
                          </w:r>
                        </w:p>
                        <w:p w14:paraId="73147D2D" w14:textId="77777777" w:rsidR="006F47F1" w:rsidRPr="00D574F5" w:rsidRDefault="006F47F1" w:rsidP="0033678B">
                          <w:pPr>
                            <w:pStyle w:val="Baseline"/>
                            <w:rPr>
                              <w:rFonts w:cs="INGMe"/>
                              <w:color w:val="000000"/>
                              <w:spacing w:val="-1"/>
                              <w:w w:val="95"/>
                            </w:rPr>
                          </w:pPr>
                          <w:r w:rsidRPr="00D574F5">
                            <w:t>BIC</w:t>
                          </w:r>
                          <w:r w:rsidRPr="00D574F5">
                            <w:rPr>
                              <w:rFonts w:ascii="Adobe Arabic" w:hAnsi="Adobe Arabic" w:cs="Adobe Arabic"/>
                            </w:rPr>
                            <w:t> </w:t>
                          </w:r>
                          <w:r>
                            <w:t>: BBRUBEBB</w:t>
                          </w:r>
                          <w:r w:rsidRPr="00D574F5">
                            <w:t xml:space="preserve"> – IBAN</w:t>
                          </w:r>
                          <w:r w:rsidRPr="00D574F5">
                            <w:rPr>
                              <w:rFonts w:ascii="Adobe Arabic" w:hAnsi="Adobe Arabic" w:cs="Adobe Arabic"/>
                            </w:rPr>
                            <w:t> </w:t>
                          </w:r>
                          <w:r w:rsidRPr="00D574F5">
                            <w:t>: BE45 3109 1560 2789 – www.ing.be – Cours S</w:t>
                          </w:r>
                          <w:r>
                            <w:t>aint–Michel 60, B–1040 Brussels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6AAEF" id="_x0000_t202" coordsize="21600,21600" o:spt="202" path="m,l,21600r21600,l21600,xe">
              <v:stroke joinstyle="miter"/>
              <v:path gradientshapeok="t" o:connecttype="rect"/>
            </v:shapetype>
            <v:shape id="Text Box 2" o:spid="_x0000_s1026" type="#_x0000_t202" style="position:absolute;left:0;text-align:left;margin-left:48.2pt;margin-top:794.5pt;width:481.6pt;height:2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" filled="f" stroked="f">
              <v:textbox>
                <w:txbxContent>
                  <w:p w14:paraId="1C0E7E6B" w14:textId="77777777" w:rsidR="006F47F1" w:rsidRDefault="006F47F1" w:rsidP="0033678B">
                    <w:pPr>
                      <w:pStyle w:val="Baseline"/>
                    </w:pPr>
                    <w:r w:rsidRPr="00D574F5">
                      <w:t>IN</w:t>
                    </w:r>
                    <w:r>
                      <w:t xml:space="preserve">G Belgium SA/NV – </w:t>
                    </w:r>
                    <w:r w:rsidRPr="00D574F5">
                      <w:t>Avenue Marnix 24, B–1000 Brussels – Brussels RPM/RPR – VAT</w:t>
                    </w:r>
                    <w:r w:rsidRPr="00D574F5">
                      <w:rPr>
                        <w:rFonts w:ascii="Adobe Arabic" w:hAnsi="Adobe Arabic" w:cs="Adobe Arabic"/>
                      </w:rPr>
                      <w:t> </w:t>
                    </w:r>
                    <w:r>
                      <w:t>: BE 0403 200 393</w:t>
                    </w:r>
                  </w:p>
                  <w:p w14:paraId="73147D2D" w14:textId="77777777" w:rsidR="006F47F1" w:rsidRPr="00D574F5" w:rsidRDefault="006F47F1" w:rsidP="0033678B">
                    <w:pPr>
                      <w:pStyle w:val="Baseline"/>
                      <w:rPr>
                        <w:rFonts w:cs="INGMe"/>
                        <w:color w:val="000000"/>
                        <w:spacing w:val="-1"/>
                        <w:w w:val="95"/>
                      </w:rPr>
                    </w:pPr>
                    <w:r w:rsidRPr="00D574F5">
                      <w:t>BIC</w:t>
                    </w:r>
                    <w:r w:rsidRPr="00D574F5">
                      <w:rPr>
                        <w:rFonts w:ascii="Adobe Arabic" w:hAnsi="Adobe Arabic" w:cs="Adobe Arabic"/>
                      </w:rPr>
                      <w:t> </w:t>
                    </w:r>
                    <w:r>
                      <w:t>: BBRUBEBB</w:t>
                    </w:r>
                    <w:r w:rsidRPr="00D574F5">
                      <w:t xml:space="preserve"> – IBAN</w:t>
                    </w:r>
                    <w:r w:rsidRPr="00D574F5">
                      <w:rPr>
                        <w:rFonts w:ascii="Adobe Arabic" w:hAnsi="Adobe Arabic" w:cs="Adobe Arabic"/>
                      </w:rPr>
                      <w:t> </w:t>
                    </w:r>
                    <w:r w:rsidRPr="00D574F5">
                      <w:t>: BE45 3109 1560 2789 – www.ing.be – Cours S</w:t>
                    </w:r>
                    <w:r>
                      <w:t>aint–Michel 60, B–1040 Brussels</w:t>
                    </w:r>
                  </w:p>
                </w:txbxContent>
              </v:textbox>
              <w10:wrap type="through" anchorx="page" anchory="page"/>
            </v:shape>
          </w:pict>
        </mc:Fallback>
      </mc:AlternateContent>
    </w:r>
    <w:r>
      <w:rPr>
        <w:noProof/>
        <w:lang w:val="en-US"/>
      </w:rPr>
      <w:drawing>
        <wp:anchor distT="0" distB="0" distL="114300" distR="114300" simplePos="0" relativeHeight="251659264" behindDoc="0" locked="0" layoutInCell="1" allowOverlap="1" wp14:anchorId="0A2DA88A" wp14:editId="14A77C58">
          <wp:simplePos x="0" y="0"/>
          <wp:positionH relativeFrom="page">
            <wp:posOffset>5435600</wp:posOffset>
          </wp:positionH>
          <wp:positionV relativeFrom="page">
            <wp:posOffset>9922510</wp:posOffset>
          </wp:positionV>
          <wp:extent cx="1702435" cy="427990"/>
          <wp:effectExtent l="0" t="0" r="0" b="3810"/>
          <wp:wrapTight wrapText="bothSides">
            <wp:wrapPolygon edited="0">
              <wp:start x="14180" y="0"/>
              <wp:lineTo x="0" y="2564"/>
              <wp:lineTo x="0" y="20510"/>
              <wp:lineTo x="20947" y="20510"/>
              <wp:lineTo x="21270" y="19228"/>
              <wp:lineTo x="21270" y="2564"/>
              <wp:lineTo x="17402" y="0"/>
              <wp:lineTo x="1418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logo-rgb.emf"/>
                  <pic:cNvPicPr/>
                </pic:nvPicPr>
                <pic:blipFill>
                  <a:blip r:embed="rId1">
                    <a:extLst>
                      <a:ext uri="{28A0092B-C50C-407E-A947-70E740481C1C}">
                        <a14:useLocalDpi xmlns:a14="http://schemas.microsoft.com/office/drawing/2010/main" val="0"/>
                      </a:ext>
                    </a:extLst>
                  </a:blip>
                  <a:stretch>
                    <a:fillRect/>
                  </a:stretch>
                </pic:blipFill>
                <pic:spPr>
                  <a:xfrm>
                    <a:off x="0" y="0"/>
                    <a:ext cx="1702435" cy="427990"/>
                  </a:xfrm>
                  <a:prstGeom prst="rect">
                    <a:avLst/>
                  </a:prstGeom>
                </pic:spPr>
              </pic:pic>
            </a:graphicData>
          </a:graphic>
        </wp:anchor>
      </w:drawing>
    </w:r>
  </w:p>
  <w:p w14:paraId="3CA2ADBA" w14:textId="77777777" w:rsidR="006F47F1" w:rsidRDefault="006F47F1">
    <w:pPr>
      <w:pStyle w:val="Voettekst"/>
    </w:pPr>
  </w:p>
  <w:p w14:paraId="47EF7EEE" w14:textId="77777777" w:rsidR="006F47F1" w:rsidRDefault="006F47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11661" w14:textId="77777777" w:rsidR="00F14478" w:rsidRDefault="00F14478" w:rsidP="0033678B">
      <w:pPr>
        <w:spacing w:after="0" w:line="240" w:lineRule="auto"/>
      </w:pPr>
      <w:r>
        <w:separator/>
      </w:r>
    </w:p>
  </w:footnote>
  <w:footnote w:type="continuationSeparator" w:id="0">
    <w:p w14:paraId="682709A1" w14:textId="77777777" w:rsidR="00F14478" w:rsidRDefault="00F14478" w:rsidP="0033678B">
      <w:pPr>
        <w:spacing w:after="0" w:line="240" w:lineRule="auto"/>
      </w:pPr>
      <w:r>
        <w:continuationSeparator/>
      </w:r>
    </w:p>
  </w:footnote>
  <w:footnote w:type="continuationNotice" w:id="1">
    <w:p w14:paraId="468A2D2F" w14:textId="77777777" w:rsidR="00F14478" w:rsidRDefault="00F14478">
      <w:pPr>
        <w:spacing w:after="0" w:line="240" w:lineRule="auto"/>
      </w:pPr>
    </w:p>
  </w:footnote>
  <w:footnote w:id="2">
    <w:p w14:paraId="14B9DDFA" w14:textId="7B77C202" w:rsidR="009A1EAF" w:rsidRPr="00651A3E" w:rsidRDefault="009A1EAF" w:rsidP="009A1EAF">
      <w:pPr>
        <w:pStyle w:val="Voetnoottekst"/>
        <w:rPr>
          <w:lang w:val="nl-NL"/>
        </w:rPr>
      </w:pPr>
      <w:r>
        <w:rPr>
          <w:rStyle w:val="Voetnootmarkering"/>
        </w:rPr>
        <w:footnoteRef/>
      </w:r>
      <w:r>
        <w:t xml:space="preserve"> </w:t>
      </w:r>
      <w:r w:rsidR="004D7EB1" w:rsidRPr="004D7EB1">
        <w:t>De IIS (ING International Survey ) is een internationale enquête in opdracht van ING naar het gedrag van consumenten in dertien Europese landen, de Verenigde Staten en Australië.</w:t>
      </w:r>
    </w:p>
  </w:footnote>
  <w:footnote w:id="3">
    <w:p w14:paraId="51626334" w14:textId="007F35C7" w:rsidR="005D5D3D" w:rsidRPr="00651A3E" w:rsidRDefault="00B128FC">
      <w:pPr>
        <w:pStyle w:val="Voetnoottekst"/>
        <w:rPr>
          <w:lang w:val="nl-NL"/>
        </w:rPr>
      </w:pPr>
      <w:r>
        <w:rPr>
          <w:rStyle w:val="Voetnootmarkering"/>
        </w:rPr>
        <w:footnoteRef/>
      </w:r>
      <w:r>
        <w:t xml:space="preserve"> </w:t>
      </w:r>
      <w:hyperlink r:id="rId1" w:history="1">
        <w:r w:rsidR="005D5D3D" w:rsidRPr="00321436">
          <w:rPr>
            <w:rStyle w:val="Hyperlink"/>
            <w:color w:val="D7702D"/>
          </w:rPr>
          <w:t>https://www.ecb.europa.eu/pub/economic-bulletin/articles/2018/html/ecb.ebart201806_03.en.html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0FFE2" w14:textId="1E2ED6FF" w:rsidR="006F47F1" w:rsidRPr="0033678B" w:rsidRDefault="006F47F1" w:rsidP="0033678B">
    <w:pPr>
      <w:pStyle w:val="FootnoteReferenceFake"/>
      <w:jc w:val="right"/>
      <w:rPr>
        <w:lang w:val="nl-BE"/>
      </w:rPr>
    </w:pPr>
    <w:r>
      <w:tab/>
    </w:r>
    <w:r>
      <w:tab/>
    </w:r>
    <w:r>
      <w:rPr>
        <w:noProof w:val="0"/>
        <w:color w:val="A6A6A6" w:themeColor="background1" w:themeShade="A6"/>
        <w:sz w:val="24"/>
        <w:szCs w:val="24"/>
        <w:lang w:val="nl-BE"/>
      </w:rPr>
      <w:t>PERSBERICHT</w:t>
    </w:r>
    <w:r>
      <w:rPr>
        <w:noProof w:val="0"/>
        <w:color w:val="A6A6A6" w:themeColor="background1" w:themeShade="A6"/>
        <w:sz w:val="24"/>
        <w:szCs w:val="24"/>
        <w:lang w:val="nl-BE"/>
      </w:rPr>
      <w:br/>
    </w:r>
    <w:r w:rsidR="008E3313">
      <w:rPr>
        <w:noProof w:val="0"/>
        <w:color w:val="A6A6A6" w:themeColor="background1" w:themeShade="A6"/>
        <w:sz w:val="24"/>
        <w:szCs w:val="24"/>
        <w:lang w:val="nl-BE"/>
      </w:rPr>
      <w:t>10 SEPTEMBER</w:t>
    </w:r>
    <w:r>
      <w:rPr>
        <w:noProof w:val="0"/>
        <w:color w:val="A6A6A6" w:themeColor="background1" w:themeShade="A6"/>
        <w:sz w:val="24"/>
        <w:szCs w:val="24"/>
        <w:lang w:val="nl-BE"/>
      </w:rPr>
      <w:t xml:space="preserve"> 2020</w:t>
    </w:r>
    <w:r w:rsidRPr="00AE6754">
      <w:rPr>
        <w:noProof w:val="0"/>
        <w:color w:val="A6A6A6" w:themeColor="background1" w:themeShade="A6"/>
        <w:sz w:val="24"/>
        <w:szCs w:val="24"/>
        <w:lang w:val="nl-BE"/>
      </w:rPr>
      <w:br/>
    </w:r>
    <w:r w:rsidRPr="00AE6754">
      <w:rPr>
        <w:lang w:val="nl-BE"/>
      </w:rPr>
      <w:t>PERSBERICHT</w:t>
    </w:r>
  </w:p>
  <w:p w14:paraId="08A58312" w14:textId="77777777" w:rsidR="006F47F1" w:rsidRDefault="006F47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31AE"/>
    <w:multiLevelType w:val="hybridMultilevel"/>
    <w:tmpl w:val="DE983156"/>
    <w:lvl w:ilvl="0" w:tplc="16D08684">
      <w:numFmt w:val="bullet"/>
      <w:lvlText w:val="-"/>
      <w:lvlJc w:val="left"/>
      <w:pPr>
        <w:ind w:left="720" w:hanging="360"/>
      </w:pPr>
      <w:rPr>
        <w:rFonts w:ascii="ING Me" w:eastAsia="Times New Roman" w:hAnsi="ING M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394BA4"/>
    <w:multiLevelType w:val="multilevel"/>
    <w:tmpl w:val="B62AFF7E"/>
    <w:name w:val="OP opsomming"/>
    <w:styleLink w:val="Opsomming"/>
    <w:lvl w:ilvl="0">
      <w:start w:val="1"/>
      <w:numFmt w:val="bullet"/>
      <w:pStyle w:val="Lijstopsomteken"/>
      <w:lvlText w:val="•"/>
      <w:lvlJc w:val="left"/>
      <w:pPr>
        <w:ind w:left="284" w:hanging="284"/>
      </w:pPr>
      <w:rPr>
        <w:rFonts w:ascii="Trebuchet MS" w:hAnsi="Trebuchet MS" w:hint="default"/>
        <w:color w:val="44546A" w:themeColor="text2"/>
      </w:rPr>
    </w:lvl>
    <w:lvl w:ilvl="1">
      <w:start w:val="1"/>
      <w:numFmt w:val="bullet"/>
      <w:pStyle w:val="Lijstopsomteken2"/>
      <w:lvlText w:val="-"/>
      <w:lvlJc w:val="left"/>
      <w:pPr>
        <w:ind w:left="568" w:hanging="284"/>
      </w:pPr>
      <w:rPr>
        <w:rFonts w:ascii="Arial" w:hAnsi="Arial" w:hint="default"/>
        <w:color w:val="auto"/>
      </w:rPr>
    </w:lvl>
    <w:lvl w:ilvl="2">
      <w:start w:val="1"/>
      <w:numFmt w:val="bullet"/>
      <w:pStyle w:val="Lijstopsomteken3"/>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 w15:restartNumberingAfterBreak="0">
    <w:nsid w:val="124B7ADC"/>
    <w:multiLevelType w:val="hybridMultilevel"/>
    <w:tmpl w:val="383A8C66"/>
    <w:lvl w:ilvl="0" w:tplc="A16AFB4E">
      <w:numFmt w:val="bullet"/>
      <w:lvlText w:val="-"/>
      <w:lvlJc w:val="left"/>
      <w:pPr>
        <w:ind w:left="720" w:hanging="360"/>
      </w:pPr>
      <w:rPr>
        <w:rFonts w:ascii="ING Me" w:eastAsiaTheme="minorHAnsi" w:hAnsi="ING Me"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8594E094">
      <w:numFmt w:val="bullet"/>
      <w:lvlText w:val=""/>
      <w:lvlJc w:val="left"/>
      <w:pPr>
        <w:ind w:left="2880" w:hanging="360"/>
      </w:pPr>
      <w:rPr>
        <w:rFonts w:ascii="Wingdings" w:eastAsiaTheme="minorHAnsi" w:hAnsi="Wingdings" w:cstheme="minorBidi"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1BB1187"/>
    <w:multiLevelType w:val="hybridMultilevel"/>
    <w:tmpl w:val="4AF27AB8"/>
    <w:lvl w:ilvl="0" w:tplc="1976094E">
      <w:start w:val="20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5217B7E"/>
    <w:multiLevelType w:val="hybridMultilevel"/>
    <w:tmpl w:val="30106476"/>
    <w:lvl w:ilvl="0" w:tplc="4718DA7A">
      <w:start w:val="3"/>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6B3D29"/>
    <w:multiLevelType w:val="hybridMultilevel"/>
    <w:tmpl w:val="068A4E5E"/>
    <w:lvl w:ilvl="0" w:tplc="951011CC">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1036242"/>
    <w:multiLevelType w:val="hybridMultilevel"/>
    <w:tmpl w:val="D2E43362"/>
    <w:lvl w:ilvl="0" w:tplc="5608081E">
      <w:start w:val="11"/>
      <w:numFmt w:val="bullet"/>
      <w:lvlText w:val="-"/>
      <w:lvlJc w:val="left"/>
      <w:pPr>
        <w:ind w:left="720" w:hanging="360"/>
      </w:pPr>
      <w:rPr>
        <w:rFonts w:ascii="ING Me" w:eastAsiaTheme="minorEastAsia" w:hAnsi="ING Me"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2574219"/>
    <w:multiLevelType w:val="hybridMultilevel"/>
    <w:tmpl w:val="243EDE6A"/>
    <w:lvl w:ilvl="0" w:tplc="F35A4EF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3C518FD"/>
    <w:multiLevelType w:val="hybridMultilevel"/>
    <w:tmpl w:val="C812D78C"/>
    <w:lvl w:ilvl="0" w:tplc="9374553E">
      <w:numFmt w:val="bullet"/>
      <w:lvlText w:val="-"/>
      <w:lvlJc w:val="left"/>
      <w:pPr>
        <w:ind w:left="720" w:hanging="360"/>
      </w:pPr>
      <w:rPr>
        <w:rFonts w:ascii="ING Me" w:eastAsiaTheme="minorEastAsia" w:hAnsi="ING Me"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A0724E"/>
    <w:multiLevelType w:val="hybridMultilevel"/>
    <w:tmpl w:val="BED6B5B6"/>
    <w:lvl w:ilvl="0" w:tplc="93DCF60C">
      <w:numFmt w:val="bullet"/>
      <w:lvlText w:val="-"/>
      <w:lvlJc w:val="left"/>
      <w:pPr>
        <w:ind w:left="720" w:hanging="360"/>
      </w:pPr>
      <w:rPr>
        <w:rFonts w:ascii="ING Me" w:eastAsia="Times New Roman" w:hAnsi="ING M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6A02DAA"/>
    <w:multiLevelType w:val="hybridMultilevel"/>
    <w:tmpl w:val="08C6D852"/>
    <w:lvl w:ilvl="0" w:tplc="18DAA824">
      <w:start w:val="200"/>
      <w:numFmt w:val="bullet"/>
      <w:lvlText w:val="-"/>
      <w:lvlJc w:val="left"/>
      <w:pPr>
        <w:ind w:left="720" w:hanging="360"/>
      </w:pPr>
      <w:rPr>
        <w:rFonts w:ascii="ING Me" w:eastAsiaTheme="minorHAnsi" w:hAnsi="ING Me"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39A1360"/>
    <w:multiLevelType w:val="hybridMultilevel"/>
    <w:tmpl w:val="1102E0BA"/>
    <w:lvl w:ilvl="0" w:tplc="FFC01214">
      <w:start w:val="1"/>
      <w:numFmt w:val="bullet"/>
      <w:lvlText w:val="-"/>
      <w:lvlJc w:val="left"/>
      <w:pPr>
        <w:ind w:left="720" w:hanging="360"/>
      </w:pPr>
      <w:rPr>
        <w:rFonts w:ascii="ING Me" w:eastAsiaTheme="minorEastAsia" w:hAnsi="ING Me"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67E70B0"/>
    <w:multiLevelType w:val="hybridMultilevel"/>
    <w:tmpl w:val="4642AD20"/>
    <w:lvl w:ilvl="0" w:tplc="8EA03016">
      <w:numFmt w:val="bullet"/>
      <w:lvlText w:val="-"/>
      <w:lvlJc w:val="left"/>
      <w:pPr>
        <w:ind w:left="720" w:hanging="360"/>
      </w:pPr>
      <w:rPr>
        <w:rFonts w:ascii="ING Me" w:eastAsia="Times New Roman" w:hAnsi="ING Me"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9D4602A"/>
    <w:multiLevelType w:val="multilevel"/>
    <w:tmpl w:val="47920742"/>
    <w:lvl w:ilvl="0">
      <w:start w:val="1"/>
      <w:numFmt w:val="bullet"/>
      <w:lvlText w:val="•"/>
      <w:lvlJc w:val="left"/>
      <w:pPr>
        <w:ind w:left="340" w:hanging="170"/>
      </w:pPr>
      <w:rPr>
        <w:rFonts w:ascii="ING Me" w:hAnsi="ING Me" w:hint="default"/>
        <w:b w:val="0"/>
        <w:bCs w:val="0"/>
        <w:i w:val="0"/>
        <w:iCs w:val="0"/>
        <w:color w:val="D76F2C"/>
        <w:sz w:val="20"/>
        <w:szCs w:val="20"/>
      </w:rPr>
    </w:lvl>
    <w:lvl w:ilvl="1">
      <w:start w:val="1"/>
      <w:numFmt w:val="bullet"/>
      <w:lvlText w:val=""/>
      <w:lvlJc w:val="left"/>
      <w:pPr>
        <w:ind w:left="624" w:hanging="170"/>
      </w:pPr>
      <w:rPr>
        <w:rFonts w:ascii="Symbol" w:hAnsi="Symbol" w:hint="default"/>
        <w:color w:val="808080" w:themeColor="background1" w:themeShade="80"/>
        <w:sz w:val="20"/>
        <w:szCs w:val="20"/>
      </w:rPr>
    </w:lvl>
    <w:lvl w:ilvl="2">
      <w:start w:val="1"/>
      <w:numFmt w:val="bullet"/>
      <w:lvlText w:val=""/>
      <w:lvlJc w:val="left"/>
      <w:pPr>
        <w:ind w:left="2611" w:hanging="360"/>
      </w:pPr>
      <w:rPr>
        <w:rFonts w:ascii="Symbol" w:hAnsi="Symbol" w:hint="default"/>
      </w:rPr>
    </w:lvl>
    <w:lvl w:ilvl="3">
      <w:start w:val="1"/>
      <w:numFmt w:val="bullet"/>
      <w:lvlText w:val=""/>
      <w:lvlJc w:val="left"/>
      <w:pPr>
        <w:ind w:left="2971" w:hanging="360"/>
      </w:pPr>
      <w:rPr>
        <w:rFonts w:ascii="Symbol" w:hAnsi="Symbol" w:hint="default"/>
      </w:rPr>
    </w:lvl>
    <w:lvl w:ilvl="4">
      <w:start w:val="1"/>
      <w:numFmt w:val="bullet"/>
      <w:lvlText w:val=""/>
      <w:lvlJc w:val="left"/>
      <w:pPr>
        <w:ind w:left="3331" w:hanging="360"/>
      </w:pPr>
      <w:rPr>
        <w:rFonts w:ascii="Symbol" w:hAnsi="Symbol" w:hint="default"/>
      </w:rPr>
    </w:lvl>
    <w:lvl w:ilvl="5">
      <w:start w:val="1"/>
      <w:numFmt w:val="bullet"/>
      <w:lvlText w:val=""/>
      <w:lvlJc w:val="left"/>
      <w:pPr>
        <w:ind w:left="3691" w:hanging="360"/>
      </w:pPr>
      <w:rPr>
        <w:rFonts w:ascii="Symbol" w:hAnsi="Symbol" w:hint="default"/>
      </w:rPr>
    </w:lvl>
    <w:lvl w:ilvl="6">
      <w:start w:val="1"/>
      <w:numFmt w:val="bullet"/>
      <w:lvlText w:val=""/>
      <w:lvlJc w:val="left"/>
      <w:pPr>
        <w:ind w:left="4051" w:hanging="360"/>
      </w:pPr>
      <w:rPr>
        <w:rFonts w:ascii="Symbol" w:hAnsi="Symbol" w:hint="default"/>
      </w:rPr>
    </w:lvl>
    <w:lvl w:ilvl="7">
      <w:start w:val="1"/>
      <w:numFmt w:val="bullet"/>
      <w:lvlText w:val=""/>
      <w:lvlJc w:val="left"/>
      <w:pPr>
        <w:ind w:left="4411" w:hanging="360"/>
      </w:pPr>
      <w:rPr>
        <w:rFonts w:ascii="Symbol" w:hAnsi="Symbol" w:hint="default"/>
      </w:rPr>
    </w:lvl>
    <w:lvl w:ilvl="8">
      <w:start w:val="1"/>
      <w:numFmt w:val="bullet"/>
      <w:lvlText w:val=""/>
      <w:lvlJc w:val="left"/>
      <w:pPr>
        <w:ind w:left="4771" w:hanging="360"/>
      </w:pPr>
      <w:rPr>
        <w:rFonts w:ascii="Symbol" w:hAnsi="Symbol" w:hint="default"/>
      </w:rPr>
    </w:lvl>
  </w:abstractNum>
  <w:abstractNum w:abstractNumId="14" w15:restartNumberingAfterBreak="0">
    <w:nsid w:val="5A4E2077"/>
    <w:multiLevelType w:val="hybridMultilevel"/>
    <w:tmpl w:val="C54C6EC4"/>
    <w:lvl w:ilvl="0" w:tplc="3D0C837C">
      <w:numFmt w:val="bullet"/>
      <w:lvlText w:val="-"/>
      <w:lvlJc w:val="left"/>
      <w:pPr>
        <w:ind w:left="720" w:hanging="360"/>
      </w:pPr>
      <w:rPr>
        <w:rFonts w:ascii="ING Me" w:eastAsiaTheme="minorHAnsi" w:hAnsi="ING Me"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B8D0494"/>
    <w:multiLevelType w:val="hybridMultilevel"/>
    <w:tmpl w:val="8BE6720C"/>
    <w:lvl w:ilvl="0" w:tplc="4CF819C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ECC055B"/>
    <w:multiLevelType w:val="hybridMultilevel"/>
    <w:tmpl w:val="C226A490"/>
    <w:lvl w:ilvl="0" w:tplc="1E66AD46">
      <w:start w:val="2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EE77C87"/>
    <w:multiLevelType w:val="hybridMultilevel"/>
    <w:tmpl w:val="41E8EFEE"/>
    <w:lvl w:ilvl="0" w:tplc="A25C26E4">
      <w:numFmt w:val="bullet"/>
      <w:lvlText w:val="-"/>
      <w:lvlJc w:val="left"/>
      <w:pPr>
        <w:ind w:left="720" w:hanging="360"/>
      </w:pPr>
      <w:rPr>
        <w:rFonts w:ascii="ING Me" w:eastAsiaTheme="minorHAnsi" w:hAnsi="ING Me"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60E50355"/>
    <w:multiLevelType w:val="hybridMultilevel"/>
    <w:tmpl w:val="0CC8CE08"/>
    <w:lvl w:ilvl="0" w:tplc="573CF09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D290948"/>
    <w:multiLevelType w:val="hybridMultilevel"/>
    <w:tmpl w:val="2676C0BC"/>
    <w:lvl w:ilvl="0" w:tplc="B40A66E6">
      <w:numFmt w:val="bullet"/>
      <w:lvlText w:val="-"/>
      <w:lvlJc w:val="left"/>
      <w:pPr>
        <w:ind w:left="720" w:hanging="360"/>
      </w:pPr>
      <w:rPr>
        <w:rFonts w:ascii="ING Me" w:eastAsia="Times New Roman" w:hAnsi="ING M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2D36C04"/>
    <w:multiLevelType w:val="hybridMultilevel"/>
    <w:tmpl w:val="36002A74"/>
    <w:lvl w:ilvl="0" w:tplc="B8482770">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74C16297"/>
    <w:multiLevelType w:val="multilevel"/>
    <w:tmpl w:val="B62AFF7E"/>
    <w:numStyleLink w:val="Opsomming"/>
  </w:abstractNum>
  <w:abstractNum w:abstractNumId="22" w15:restartNumberingAfterBreak="0">
    <w:nsid w:val="78330E90"/>
    <w:multiLevelType w:val="hybridMultilevel"/>
    <w:tmpl w:val="61D2259C"/>
    <w:lvl w:ilvl="0" w:tplc="ADEA72B8">
      <w:start w:val="2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CE76BCE"/>
    <w:multiLevelType w:val="hybridMultilevel"/>
    <w:tmpl w:val="6DDAB5B4"/>
    <w:lvl w:ilvl="0" w:tplc="185E4110">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0"/>
  </w:num>
  <w:num w:numId="4">
    <w:abstractNumId w:val="9"/>
  </w:num>
  <w:num w:numId="5">
    <w:abstractNumId w:val="12"/>
  </w:num>
  <w:num w:numId="6">
    <w:abstractNumId w:val="19"/>
  </w:num>
  <w:num w:numId="7">
    <w:abstractNumId w:val="17"/>
  </w:num>
  <w:num w:numId="8">
    <w:abstractNumId w:val="20"/>
  </w:num>
  <w:num w:numId="9">
    <w:abstractNumId w:val="1"/>
  </w:num>
  <w:num w:numId="10">
    <w:abstractNumId w:val="21"/>
  </w:num>
  <w:num w:numId="11">
    <w:abstractNumId w:val="22"/>
  </w:num>
  <w:num w:numId="12">
    <w:abstractNumId w:val="16"/>
  </w:num>
  <w:num w:numId="13">
    <w:abstractNumId w:val="14"/>
  </w:num>
  <w:num w:numId="14">
    <w:abstractNumId w:val="6"/>
  </w:num>
  <w:num w:numId="15">
    <w:abstractNumId w:val="2"/>
  </w:num>
  <w:num w:numId="16">
    <w:abstractNumId w:val="13"/>
  </w:num>
  <w:num w:numId="17">
    <w:abstractNumId w:val="8"/>
  </w:num>
  <w:num w:numId="18">
    <w:abstractNumId w:val="11"/>
  </w:num>
  <w:num w:numId="19">
    <w:abstractNumId w:val="15"/>
  </w:num>
  <w:num w:numId="20">
    <w:abstractNumId w:val="7"/>
  </w:num>
  <w:num w:numId="21">
    <w:abstractNumId w:val="18"/>
  </w:num>
  <w:num w:numId="22">
    <w:abstractNumId w:val="4"/>
  </w:num>
  <w:num w:numId="23">
    <w:abstractNumId w:val="5"/>
  </w:num>
  <w:num w:numId="24">
    <w:abstractNumId w:val="10"/>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7F"/>
    <w:rsid w:val="0000018A"/>
    <w:rsid w:val="000022D3"/>
    <w:rsid w:val="000031C6"/>
    <w:rsid w:val="000116F1"/>
    <w:rsid w:val="00013225"/>
    <w:rsid w:val="0001662F"/>
    <w:rsid w:val="0001738E"/>
    <w:rsid w:val="00020F24"/>
    <w:rsid w:val="0002562F"/>
    <w:rsid w:val="000319F0"/>
    <w:rsid w:val="00035E61"/>
    <w:rsid w:val="00040357"/>
    <w:rsid w:val="0004061A"/>
    <w:rsid w:val="0006625E"/>
    <w:rsid w:val="0007130A"/>
    <w:rsid w:val="000754E4"/>
    <w:rsid w:val="000775AA"/>
    <w:rsid w:val="0008221E"/>
    <w:rsid w:val="0009737E"/>
    <w:rsid w:val="000A1CD6"/>
    <w:rsid w:val="000A65D7"/>
    <w:rsid w:val="000B0538"/>
    <w:rsid w:val="000B18BD"/>
    <w:rsid w:val="000B211E"/>
    <w:rsid w:val="000C060A"/>
    <w:rsid w:val="000C3CA7"/>
    <w:rsid w:val="000D7AB5"/>
    <w:rsid w:val="000E0B4B"/>
    <w:rsid w:val="000E2BEF"/>
    <w:rsid w:val="000F5118"/>
    <w:rsid w:val="000F5B64"/>
    <w:rsid w:val="000F7ED2"/>
    <w:rsid w:val="0011304B"/>
    <w:rsid w:val="00117C71"/>
    <w:rsid w:val="00120512"/>
    <w:rsid w:val="001346B3"/>
    <w:rsid w:val="0013472B"/>
    <w:rsid w:val="00137284"/>
    <w:rsid w:val="00150379"/>
    <w:rsid w:val="001503EC"/>
    <w:rsid w:val="00152398"/>
    <w:rsid w:val="00152FB0"/>
    <w:rsid w:val="0018149E"/>
    <w:rsid w:val="0018318B"/>
    <w:rsid w:val="00196E0E"/>
    <w:rsid w:val="001A0581"/>
    <w:rsid w:val="001A400B"/>
    <w:rsid w:val="001C3549"/>
    <w:rsid w:val="001E55B0"/>
    <w:rsid w:val="001F3514"/>
    <w:rsid w:val="002029C9"/>
    <w:rsid w:val="0021606A"/>
    <w:rsid w:val="00216E67"/>
    <w:rsid w:val="00233D21"/>
    <w:rsid w:val="00233EFF"/>
    <w:rsid w:val="00234F25"/>
    <w:rsid w:val="0024212D"/>
    <w:rsid w:val="00270664"/>
    <w:rsid w:val="00274F86"/>
    <w:rsid w:val="00276C11"/>
    <w:rsid w:val="0028429F"/>
    <w:rsid w:val="00290090"/>
    <w:rsid w:val="002932C9"/>
    <w:rsid w:val="00293FA2"/>
    <w:rsid w:val="00294D39"/>
    <w:rsid w:val="00295D8D"/>
    <w:rsid w:val="002A2E7C"/>
    <w:rsid w:val="002C27C4"/>
    <w:rsid w:val="002C68B0"/>
    <w:rsid w:val="002C6FC0"/>
    <w:rsid w:val="002E3FCC"/>
    <w:rsid w:val="002E5BD9"/>
    <w:rsid w:val="002E7769"/>
    <w:rsid w:val="002F7336"/>
    <w:rsid w:val="00321436"/>
    <w:rsid w:val="00321FAE"/>
    <w:rsid w:val="00325AB5"/>
    <w:rsid w:val="0033678B"/>
    <w:rsid w:val="003372E8"/>
    <w:rsid w:val="0034023D"/>
    <w:rsid w:val="00341471"/>
    <w:rsid w:val="003442D5"/>
    <w:rsid w:val="0034684C"/>
    <w:rsid w:val="00356BDA"/>
    <w:rsid w:val="00365377"/>
    <w:rsid w:val="0037412A"/>
    <w:rsid w:val="00374635"/>
    <w:rsid w:val="0038119C"/>
    <w:rsid w:val="003824C0"/>
    <w:rsid w:val="00392DBF"/>
    <w:rsid w:val="00395A57"/>
    <w:rsid w:val="00396E8C"/>
    <w:rsid w:val="003A0683"/>
    <w:rsid w:val="003A07E2"/>
    <w:rsid w:val="003B5E8C"/>
    <w:rsid w:val="003C5886"/>
    <w:rsid w:val="003D1CCA"/>
    <w:rsid w:val="003F0007"/>
    <w:rsid w:val="00401060"/>
    <w:rsid w:val="00402752"/>
    <w:rsid w:val="00403A88"/>
    <w:rsid w:val="0040495E"/>
    <w:rsid w:val="00413317"/>
    <w:rsid w:val="00415043"/>
    <w:rsid w:val="004165F2"/>
    <w:rsid w:val="00417D05"/>
    <w:rsid w:val="00420FCC"/>
    <w:rsid w:val="004346C1"/>
    <w:rsid w:val="00441626"/>
    <w:rsid w:val="004501BA"/>
    <w:rsid w:val="004501C8"/>
    <w:rsid w:val="0045028D"/>
    <w:rsid w:val="0046189E"/>
    <w:rsid w:val="00461D95"/>
    <w:rsid w:val="00464239"/>
    <w:rsid w:val="004654D2"/>
    <w:rsid w:val="0046743D"/>
    <w:rsid w:val="00472B62"/>
    <w:rsid w:val="00477562"/>
    <w:rsid w:val="00477FDB"/>
    <w:rsid w:val="00480B40"/>
    <w:rsid w:val="004A40A1"/>
    <w:rsid w:val="004B1234"/>
    <w:rsid w:val="004B223C"/>
    <w:rsid w:val="004C3A93"/>
    <w:rsid w:val="004D6551"/>
    <w:rsid w:val="004D7EB1"/>
    <w:rsid w:val="004F2C21"/>
    <w:rsid w:val="004F69AB"/>
    <w:rsid w:val="005159E2"/>
    <w:rsid w:val="005164CB"/>
    <w:rsid w:val="00516CFD"/>
    <w:rsid w:val="00521241"/>
    <w:rsid w:val="00525FC7"/>
    <w:rsid w:val="00533F77"/>
    <w:rsid w:val="0054002D"/>
    <w:rsid w:val="005454C6"/>
    <w:rsid w:val="0054578B"/>
    <w:rsid w:val="00553558"/>
    <w:rsid w:val="005573C5"/>
    <w:rsid w:val="005753E8"/>
    <w:rsid w:val="005770D7"/>
    <w:rsid w:val="005814DD"/>
    <w:rsid w:val="005904CB"/>
    <w:rsid w:val="005928A2"/>
    <w:rsid w:val="00595883"/>
    <w:rsid w:val="005A30D6"/>
    <w:rsid w:val="005A3CC4"/>
    <w:rsid w:val="005B4598"/>
    <w:rsid w:val="005B5133"/>
    <w:rsid w:val="005C1451"/>
    <w:rsid w:val="005C1988"/>
    <w:rsid w:val="005C422A"/>
    <w:rsid w:val="005D0724"/>
    <w:rsid w:val="005D3DE1"/>
    <w:rsid w:val="005D5264"/>
    <w:rsid w:val="005D5D3D"/>
    <w:rsid w:val="005E15B8"/>
    <w:rsid w:val="005E73F0"/>
    <w:rsid w:val="005E7E84"/>
    <w:rsid w:val="006006D4"/>
    <w:rsid w:val="00603AF1"/>
    <w:rsid w:val="00621993"/>
    <w:rsid w:val="00621D85"/>
    <w:rsid w:val="00640932"/>
    <w:rsid w:val="00640D97"/>
    <w:rsid w:val="00643E80"/>
    <w:rsid w:val="00651A3E"/>
    <w:rsid w:val="00654A16"/>
    <w:rsid w:val="00657DE3"/>
    <w:rsid w:val="006676E2"/>
    <w:rsid w:val="0067492A"/>
    <w:rsid w:val="00682A7C"/>
    <w:rsid w:val="00687671"/>
    <w:rsid w:val="00693903"/>
    <w:rsid w:val="00694C46"/>
    <w:rsid w:val="006960EB"/>
    <w:rsid w:val="006A3330"/>
    <w:rsid w:val="006A6E37"/>
    <w:rsid w:val="006B116E"/>
    <w:rsid w:val="006B435B"/>
    <w:rsid w:val="006B72FD"/>
    <w:rsid w:val="006C1208"/>
    <w:rsid w:val="006C5680"/>
    <w:rsid w:val="006D3FAF"/>
    <w:rsid w:val="006D6BDC"/>
    <w:rsid w:val="006D7ADA"/>
    <w:rsid w:val="006F47F1"/>
    <w:rsid w:val="00700751"/>
    <w:rsid w:val="00705A09"/>
    <w:rsid w:val="00705AA9"/>
    <w:rsid w:val="00725926"/>
    <w:rsid w:val="00730178"/>
    <w:rsid w:val="007328CA"/>
    <w:rsid w:val="0073352F"/>
    <w:rsid w:val="00733BF7"/>
    <w:rsid w:val="007363EE"/>
    <w:rsid w:val="007419CA"/>
    <w:rsid w:val="00752730"/>
    <w:rsid w:val="00754491"/>
    <w:rsid w:val="007718DE"/>
    <w:rsid w:val="00781EE8"/>
    <w:rsid w:val="00783BE2"/>
    <w:rsid w:val="0078446D"/>
    <w:rsid w:val="0079003D"/>
    <w:rsid w:val="00791609"/>
    <w:rsid w:val="007925A4"/>
    <w:rsid w:val="00792612"/>
    <w:rsid w:val="00793D58"/>
    <w:rsid w:val="007977CC"/>
    <w:rsid w:val="007A12C2"/>
    <w:rsid w:val="007A1E07"/>
    <w:rsid w:val="007A2BCA"/>
    <w:rsid w:val="007A57CC"/>
    <w:rsid w:val="007B2BD4"/>
    <w:rsid w:val="007C46B6"/>
    <w:rsid w:val="007C6180"/>
    <w:rsid w:val="007D2672"/>
    <w:rsid w:val="007E349E"/>
    <w:rsid w:val="007F3B0E"/>
    <w:rsid w:val="007F5448"/>
    <w:rsid w:val="008071F9"/>
    <w:rsid w:val="0081610F"/>
    <w:rsid w:val="0082075C"/>
    <w:rsid w:val="00834DCE"/>
    <w:rsid w:val="00845ACB"/>
    <w:rsid w:val="008479C1"/>
    <w:rsid w:val="00847D9E"/>
    <w:rsid w:val="00850FF0"/>
    <w:rsid w:val="00861A35"/>
    <w:rsid w:val="00866CFF"/>
    <w:rsid w:val="00867C1F"/>
    <w:rsid w:val="00876CDB"/>
    <w:rsid w:val="00877A9B"/>
    <w:rsid w:val="00887ED9"/>
    <w:rsid w:val="0089357F"/>
    <w:rsid w:val="008957E0"/>
    <w:rsid w:val="008A0A14"/>
    <w:rsid w:val="008A4367"/>
    <w:rsid w:val="008C42BE"/>
    <w:rsid w:val="008C5DA1"/>
    <w:rsid w:val="008D4AC3"/>
    <w:rsid w:val="008D52E7"/>
    <w:rsid w:val="008E3313"/>
    <w:rsid w:val="008F04E7"/>
    <w:rsid w:val="008F0F20"/>
    <w:rsid w:val="008F1264"/>
    <w:rsid w:val="008F57A5"/>
    <w:rsid w:val="0090070F"/>
    <w:rsid w:val="00913401"/>
    <w:rsid w:val="00921C9D"/>
    <w:rsid w:val="0093294B"/>
    <w:rsid w:val="0093718C"/>
    <w:rsid w:val="00950AB1"/>
    <w:rsid w:val="00951185"/>
    <w:rsid w:val="009519EF"/>
    <w:rsid w:val="00951B1C"/>
    <w:rsid w:val="00971D3C"/>
    <w:rsid w:val="009743D4"/>
    <w:rsid w:val="00987D82"/>
    <w:rsid w:val="009A0BA0"/>
    <w:rsid w:val="009A1EAF"/>
    <w:rsid w:val="009A213F"/>
    <w:rsid w:val="009A6C51"/>
    <w:rsid w:val="009B1694"/>
    <w:rsid w:val="009B76FB"/>
    <w:rsid w:val="009C0E88"/>
    <w:rsid w:val="009C2477"/>
    <w:rsid w:val="009C5E7F"/>
    <w:rsid w:val="009C637B"/>
    <w:rsid w:val="009C792D"/>
    <w:rsid w:val="009D2ECE"/>
    <w:rsid w:val="009D490F"/>
    <w:rsid w:val="009E1B9C"/>
    <w:rsid w:val="009E2191"/>
    <w:rsid w:val="009F30A8"/>
    <w:rsid w:val="009F7E7B"/>
    <w:rsid w:val="00A056BC"/>
    <w:rsid w:val="00A0675E"/>
    <w:rsid w:val="00A14D01"/>
    <w:rsid w:val="00A26A93"/>
    <w:rsid w:val="00A26E96"/>
    <w:rsid w:val="00A475A6"/>
    <w:rsid w:val="00A47BA4"/>
    <w:rsid w:val="00A66DC0"/>
    <w:rsid w:val="00A71342"/>
    <w:rsid w:val="00A81A17"/>
    <w:rsid w:val="00A81AB8"/>
    <w:rsid w:val="00A82E48"/>
    <w:rsid w:val="00A9026E"/>
    <w:rsid w:val="00A96B15"/>
    <w:rsid w:val="00A96B7A"/>
    <w:rsid w:val="00AB2908"/>
    <w:rsid w:val="00AB768B"/>
    <w:rsid w:val="00AC0151"/>
    <w:rsid w:val="00AC37E9"/>
    <w:rsid w:val="00AC574B"/>
    <w:rsid w:val="00AD34B6"/>
    <w:rsid w:val="00AD59C5"/>
    <w:rsid w:val="00AE2AC3"/>
    <w:rsid w:val="00AF2857"/>
    <w:rsid w:val="00AF5BDF"/>
    <w:rsid w:val="00B01337"/>
    <w:rsid w:val="00B128FC"/>
    <w:rsid w:val="00B146F3"/>
    <w:rsid w:val="00B14D43"/>
    <w:rsid w:val="00B155B8"/>
    <w:rsid w:val="00B20448"/>
    <w:rsid w:val="00B21E16"/>
    <w:rsid w:val="00B3228A"/>
    <w:rsid w:val="00B32415"/>
    <w:rsid w:val="00B324FB"/>
    <w:rsid w:val="00B36586"/>
    <w:rsid w:val="00B41861"/>
    <w:rsid w:val="00B43EB6"/>
    <w:rsid w:val="00B60462"/>
    <w:rsid w:val="00B60A2C"/>
    <w:rsid w:val="00B70E4F"/>
    <w:rsid w:val="00B73650"/>
    <w:rsid w:val="00B75617"/>
    <w:rsid w:val="00B769C2"/>
    <w:rsid w:val="00B7722C"/>
    <w:rsid w:val="00B86010"/>
    <w:rsid w:val="00B90EAE"/>
    <w:rsid w:val="00B911B4"/>
    <w:rsid w:val="00BA071C"/>
    <w:rsid w:val="00BA3173"/>
    <w:rsid w:val="00BB2982"/>
    <w:rsid w:val="00BB59F9"/>
    <w:rsid w:val="00BB5E83"/>
    <w:rsid w:val="00BC1DA9"/>
    <w:rsid w:val="00BC2E67"/>
    <w:rsid w:val="00BC7562"/>
    <w:rsid w:val="00BC7F84"/>
    <w:rsid w:val="00BD1C3C"/>
    <w:rsid w:val="00BD2E99"/>
    <w:rsid w:val="00BD3F32"/>
    <w:rsid w:val="00BE38BE"/>
    <w:rsid w:val="00BE5E33"/>
    <w:rsid w:val="00BE7151"/>
    <w:rsid w:val="00BF60B9"/>
    <w:rsid w:val="00C16665"/>
    <w:rsid w:val="00C22557"/>
    <w:rsid w:val="00C37723"/>
    <w:rsid w:val="00C552BB"/>
    <w:rsid w:val="00C55371"/>
    <w:rsid w:val="00C83768"/>
    <w:rsid w:val="00C84A7F"/>
    <w:rsid w:val="00CA2C8C"/>
    <w:rsid w:val="00CC2291"/>
    <w:rsid w:val="00CC3436"/>
    <w:rsid w:val="00CD402F"/>
    <w:rsid w:val="00CE12B2"/>
    <w:rsid w:val="00CE5044"/>
    <w:rsid w:val="00CF1F11"/>
    <w:rsid w:val="00CF6D95"/>
    <w:rsid w:val="00CF6DD4"/>
    <w:rsid w:val="00D04EC0"/>
    <w:rsid w:val="00D12003"/>
    <w:rsid w:val="00D25043"/>
    <w:rsid w:val="00D26BFD"/>
    <w:rsid w:val="00D27EC8"/>
    <w:rsid w:val="00D30ECB"/>
    <w:rsid w:val="00D40E34"/>
    <w:rsid w:val="00D43C58"/>
    <w:rsid w:val="00D456C1"/>
    <w:rsid w:val="00D51863"/>
    <w:rsid w:val="00D625BE"/>
    <w:rsid w:val="00D66DCA"/>
    <w:rsid w:val="00D753C4"/>
    <w:rsid w:val="00D77855"/>
    <w:rsid w:val="00D822D7"/>
    <w:rsid w:val="00D82F6E"/>
    <w:rsid w:val="00DA6815"/>
    <w:rsid w:val="00DB10B6"/>
    <w:rsid w:val="00DD0A9A"/>
    <w:rsid w:val="00DD1214"/>
    <w:rsid w:val="00DE0638"/>
    <w:rsid w:val="00DF156F"/>
    <w:rsid w:val="00DF23F0"/>
    <w:rsid w:val="00DF4875"/>
    <w:rsid w:val="00E00DA1"/>
    <w:rsid w:val="00E04839"/>
    <w:rsid w:val="00E16956"/>
    <w:rsid w:val="00E213B3"/>
    <w:rsid w:val="00E232FC"/>
    <w:rsid w:val="00E2549F"/>
    <w:rsid w:val="00E279F5"/>
    <w:rsid w:val="00E329F0"/>
    <w:rsid w:val="00E371D7"/>
    <w:rsid w:val="00E518D3"/>
    <w:rsid w:val="00E62950"/>
    <w:rsid w:val="00E72758"/>
    <w:rsid w:val="00E81C83"/>
    <w:rsid w:val="00E83F2A"/>
    <w:rsid w:val="00E93B92"/>
    <w:rsid w:val="00E93EF3"/>
    <w:rsid w:val="00E962EB"/>
    <w:rsid w:val="00EA037F"/>
    <w:rsid w:val="00EA2F8B"/>
    <w:rsid w:val="00EA4209"/>
    <w:rsid w:val="00EA78D4"/>
    <w:rsid w:val="00EC0C51"/>
    <w:rsid w:val="00EC135F"/>
    <w:rsid w:val="00ED10FB"/>
    <w:rsid w:val="00ED529F"/>
    <w:rsid w:val="00ED5686"/>
    <w:rsid w:val="00ED7B2F"/>
    <w:rsid w:val="00EE5BA1"/>
    <w:rsid w:val="00EF2B94"/>
    <w:rsid w:val="00F02281"/>
    <w:rsid w:val="00F07F97"/>
    <w:rsid w:val="00F12D65"/>
    <w:rsid w:val="00F14478"/>
    <w:rsid w:val="00F224DE"/>
    <w:rsid w:val="00F24945"/>
    <w:rsid w:val="00F301C8"/>
    <w:rsid w:val="00F30B1A"/>
    <w:rsid w:val="00F34BAE"/>
    <w:rsid w:val="00F418F0"/>
    <w:rsid w:val="00F42338"/>
    <w:rsid w:val="00F4244A"/>
    <w:rsid w:val="00F44129"/>
    <w:rsid w:val="00F51A3F"/>
    <w:rsid w:val="00F52CE4"/>
    <w:rsid w:val="00F5509F"/>
    <w:rsid w:val="00F64834"/>
    <w:rsid w:val="00F677E5"/>
    <w:rsid w:val="00F715B5"/>
    <w:rsid w:val="00F7382A"/>
    <w:rsid w:val="00F75050"/>
    <w:rsid w:val="00FB73F7"/>
    <w:rsid w:val="00FE2E6E"/>
    <w:rsid w:val="00FE36E3"/>
    <w:rsid w:val="00FE459F"/>
    <w:rsid w:val="00FF1DD1"/>
    <w:rsid w:val="00FF59EA"/>
    <w:rsid w:val="00FF7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DFDFAE"/>
  <w15:chartTrackingRefBased/>
  <w15:docId w15:val="{0AEA928E-69DE-427B-8C8A-025BCF86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2E3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er1">
    <w:name w:val="Header1"/>
    <w:basedOn w:val="Standaard"/>
    <w:next w:val="Standaard"/>
    <w:autoRedefine/>
    <w:qFormat/>
    <w:rsid w:val="009A1EAF"/>
    <w:pPr>
      <w:suppressAutoHyphens/>
      <w:spacing w:after="240" w:line="240" w:lineRule="auto"/>
      <w:ind w:right="567"/>
      <w:jc w:val="center"/>
    </w:pPr>
    <w:rPr>
      <w:rFonts w:ascii="ING Me" w:eastAsiaTheme="minorEastAsia" w:hAnsi="ING Me"/>
      <w:b/>
      <w:noProof/>
      <w:color w:val="FF0000"/>
      <w:sz w:val="28"/>
      <w:szCs w:val="28"/>
    </w:rPr>
  </w:style>
  <w:style w:type="paragraph" w:styleId="Voetnoottekst">
    <w:name w:val="footnote text"/>
    <w:basedOn w:val="Standaard"/>
    <w:link w:val="VoetnoottekstChar"/>
    <w:autoRedefine/>
    <w:uiPriority w:val="99"/>
    <w:unhideWhenUsed/>
    <w:qFormat/>
    <w:rsid w:val="0033678B"/>
    <w:pPr>
      <w:spacing w:after="60" w:line="240" w:lineRule="auto"/>
    </w:pPr>
    <w:rPr>
      <w:rFonts w:ascii="ING Me" w:eastAsiaTheme="minorEastAsia" w:hAnsi="ING Me"/>
      <w:color w:val="A6A6A6" w:themeColor="background1" w:themeShade="A6"/>
      <w:sz w:val="18"/>
      <w:szCs w:val="18"/>
    </w:rPr>
  </w:style>
  <w:style w:type="character" w:customStyle="1" w:styleId="VoetnoottekstChar">
    <w:name w:val="Voetnoottekst Char"/>
    <w:basedOn w:val="Standaardalinea-lettertype"/>
    <w:link w:val="Voetnoottekst"/>
    <w:uiPriority w:val="99"/>
    <w:rsid w:val="0033678B"/>
    <w:rPr>
      <w:rFonts w:ascii="ING Me" w:eastAsiaTheme="minorEastAsia" w:hAnsi="ING Me"/>
      <w:color w:val="A6A6A6" w:themeColor="background1" w:themeShade="A6"/>
      <w:sz w:val="18"/>
      <w:szCs w:val="18"/>
    </w:rPr>
  </w:style>
  <w:style w:type="character" w:styleId="Voetnootmarkering">
    <w:name w:val="footnote reference"/>
    <w:basedOn w:val="Standaardalinea-lettertype"/>
    <w:uiPriority w:val="99"/>
    <w:unhideWhenUsed/>
    <w:rsid w:val="0033678B"/>
    <w:rPr>
      <w:vertAlign w:val="superscript"/>
    </w:rPr>
  </w:style>
  <w:style w:type="paragraph" w:styleId="Koptekst">
    <w:name w:val="header"/>
    <w:basedOn w:val="Standaard"/>
    <w:link w:val="KoptekstChar"/>
    <w:uiPriority w:val="99"/>
    <w:unhideWhenUsed/>
    <w:rsid w:val="0033678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3678B"/>
  </w:style>
  <w:style w:type="paragraph" w:styleId="Voettekst">
    <w:name w:val="footer"/>
    <w:basedOn w:val="Standaard"/>
    <w:link w:val="VoettekstChar"/>
    <w:uiPriority w:val="99"/>
    <w:unhideWhenUsed/>
    <w:rsid w:val="0033678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3678B"/>
  </w:style>
  <w:style w:type="paragraph" w:customStyle="1" w:styleId="FootnoteReferenceFake">
    <w:name w:val="FootnoteReferenceFake"/>
    <w:basedOn w:val="Standaard"/>
    <w:autoRedefine/>
    <w:qFormat/>
    <w:rsid w:val="0033678B"/>
    <w:pPr>
      <w:spacing w:before="240" w:after="240" w:line="240" w:lineRule="auto"/>
      <w:jc w:val="center"/>
    </w:pPr>
    <w:rPr>
      <w:rFonts w:ascii="ING Me" w:eastAsiaTheme="minorEastAsia" w:hAnsi="ING Me"/>
      <w:noProof/>
      <w:color w:val="FFFFFF" w:themeColor="background1"/>
      <w:sz w:val="4"/>
      <w:szCs w:val="4"/>
      <w:lang w:val="en-US"/>
    </w:rPr>
  </w:style>
  <w:style w:type="paragraph" w:customStyle="1" w:styleId="Introduction">
    <w:name w:val="Introduction"/>
    <w:basedOn w:val="Standaard"/>
    <w:autoRedefine/>
    <w:qFormat/>
    <w:rsid w:val="009A1EAF"/>
    <w:pPr>
      <w:suppressAutoHyphens/>
      <w:spacing w:after="0" w:line="240" w:lineRule="auto"/>
      <w:ind w:right="-7"/>
      <w:jc w:val="both"/>
    </w:pPr>
    <w:rPr>
      <w:rFonts w:ascii="ING Me" w:eastAsiaTheme="minorEastAsia" w:hAnsi="ING Me"/>
      <w:noProof/>
      <w:szCs w:val="28"/>
    </w:rPr>
  </w:style>
  <w:style w:type="paragraph" w:customStyle="1" w:styleId="Header2">
    <w:name w:val="Header2"/>
    <w:basedOn w:val="Introduction"/>
    <w:autoRedefine/>
    <w:qFormat/>
    <w:rsid w:val="00595883"/>
    <w:pPr>
      <w:keepNext/>
      <w:ind w:right="-6"/>
    </w:pPr>
    <w:rPr>
      <w:color w:val="D7702D"/>
      <w:sz w:val="26"/>
    </w:rPr>
  </w:style>
  <w:style w:type="paragraph" w:customStyle="1" w:styleId="ListBullets">
    <w:name w:val="ListBullets"/>
    <w:basedOn w:val="Standaard"/>
    <w:autoRedefine/>
    <w:qFormat/>
    <w:rsid w:val="009519EF"/>
    <w:pPr>
      <w:suppressAutoHyphens/>
      <w:spacing w:after="60" w:line="252" w:lineRule="auto"/>
      <w:ind w:right="-132"/>
      <w:jc w:val="both"/>
    </w:pPr>
    <w:rPr>
      <w:rFonts w:ascii="ING Me" w:eastAsiaTheme="minorEastAsia" w:hAnsi="ING Me"/>
      <w:b/>
      <w:sz w:val="20"/>
      <w:szCs w:val="24"/>
    </w:rPr>
  </w:style>
  <w:style w:type="paragraph" w:customStyle="1" w:styleId="Header3">
    <w:name w:val="Header3"/>
    <w:basedOn w:val="Standaard"/>
    <w:autoRedefine/>
    <w:qFormat/>
    <w:rsid w:val="00374635"/>
    <w:pPr>
      <w:keepNext/>
      <w:spacing w:before="300" w:after="60" w:line="240" w:lineRule="auto"/>
      <w:jc w:val="both"/>
    </w:pPr>
    <w:rPr>
      <w:rFonts w:ascii="ING Me" w:eastAsiaTheme="minorEastAsia" w:hAnsi="ING Me"/>
      <w:b/>
      <w:bCs/>
      <w:noProof/>
      <w:sz w:val="24"/>
      <w:szCs w:val="24"/>
    </w:rPr>
  </w:style>
  <w:style w:type="paragraph" w:styleId="Normaalweb">
    <w:name w:val="Normal (Web)"/>
    <w:basedOn w:val="Standaard"/>
    <w:uiPriority w:val="99"/>
    <w:unhideWhenUsed/>
    <w:rsid w:val="003367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Standaardalinea-lettertype"/>
    <w:uiPriority w:val="99"/>
    <w:unhideWhenUsed/>
    <w:rsid w:val="0033678B"/>
    <w:rPr>
      <w:color w:val="0563C1" w:themeColor="hyperlink"/>
      <w:u w:val="single"/>
    </w:rPr>
  </w:style>
  <w:style w:type="paragraph" w:customStyle="1" w:styleId="Baseline">
    <w:name w:val="Baseline"/>
    <w:basedOn w:val="Standaard"/>
    <w:autoRedefine/>
    <w:qFormat/>
    <w:rsid w:val="0033678B"/>
    <w:pPr>
      <w:suppressAutoHyphens/>
      <w:spacing w:after="0" w:line="240" w:lineRule="auto"/>
    </w:pPr>
    <w:rPr>
      <w:rFonts w:ascii="ING Me" w:eastAsiaTheme="minorEastAsia" w:hAnsi="ING Me"/>
      <w:sz w:val="14"/>
      <w:szCs w:val="14"/>
    </w:rPr>
  </w:style>
  <w:style w:type="paragraph" w:styleId="Ballontekst">
    <w:name w:val="Balloon Text"/>
    <w:basedOn w:val="Standaard"/>
    <w:link w:val="BallontekstChar"/>
    <w:uiPriority w:val="99"/>
    <w:semiHidden/>
    <w:unhideWhenUsed/>
    <w:rsid w:val="0033678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678B"/>
    <w:rPr>
      <w:rFonts w:ascii="Segoe UI" w:hAnsi="Segoe UI" w:cs="Segoe UI"/>
      <w:sz w:val="18"/>
      <w:szCs w:val="18"/>
    </w:rPr>
  </w:style>
  <w:style w:type="character" w:styleId="Verwijzingopmerking">
    <w:name w:val="annotation reference"/>
    <w:basedOn w:val="Standaardalinea-lettertype"/>
    <w:uiPriority w:val="99"/>
    <w:semiHidden/>
    <w:unhideWhenUsed/>
    <w:rsid w:val="0009737E"/>
    <w:rPr>
      <w:sz w:val="16"/>
      <w:szCs w:val="16"/>
    </w:rPr>
  </w:style>
  <w:style w:type="paragraph" w:styleId="Tekstopmerking">
    <w:name w:val="annotation text"/>
    <w:basedOn w:val="Standaard"/>
    <w:link w:val="TekstopmerkingChar"/>
    <w:uiPriority w:val="99"/>
    <w:unhideWhenUsed/>
    <w:rsid w:val="0009737E"/>
    <w:pPr>
      <w:spacing w:line="240" w:lineRule="auto"/>
    </w:pPr>
    <w:rPr>
      <w:sz w:val="20"/>
      <w:szCs w:val="20"/>
    </w:rPr>
  </w:style>
  <w:style w:type="character" w:customStyle="1" w:styleId="TekstopmerkingChar">
    <w:name w:val="Tekst opmerking Char"/>
    <w:basedOn w:val="Standaardalinea-lettertype"/>
    <w:link w:val="Tekstopmerking"/>
    <w:uiPriority w:val="99"/>
    <w:rsid w:val="0009737E"/>
    <w:rPr>
      <w:sz w:val="20"/>
      <w:szCs w:val="20"/>
    </w:rPr>
  </w:style>
  <w:style w:type="paragraph" w:styleId="Onderwerpvanopmerking">
    <w:name w:val="annotation subject"/>
    <w:basedOn w:val="Tekstopmerking"/>
    <w:next w:val="Tekstopmerking"/>
    <w:link w:val="OnderwerpvanopmerkingChar"/>
    <w:uiPriority w:val="99"/>
    <w:semiHidden/>
    <w:unhideWhenUsed/>
    <w:rsid w:val="0009737E"/>
    <w:rPr>
      <w:b/>
      <w:bCs/>
    </w:rPr>
  </w:style>
  <w:style w:type="character" w:customStyle="1" w:styleId="OnderwerpvanopmerkingChar">
    <w:name w:val="Onderwerp van opmerking Char"/>
    <w:basedOn w:val="TekstopmerkingChar"/>
    <w:link w:val="Onderwerpvanopmerking"/>
    <w:uiPriority w:val="99"/>
    <w:semiHidden/>
    <w:rsid w:val="0009737E"/>
    <w:rPr>
      <w:b/>
      <w:bCs/>
      <w:sz w:val="20"/>
      <w:szCs w:val="20"/>
    </w:rPr>
  </w:style>
  <w:style w:type="paragraph" w:styleId="Lijstalinea">
    <w:name w:val="List Paragraph"/>
    <w:basedOn w:val="Standaard"/>
    <w:uiPriority w:val="34"/>
    <w:qFormat/>
    <w:rsid w:val="00861A35"/>
    <w:pPr>
      <w:spacing w:after="0" w:line="240" w:lineRule="auto"/>
      <w:ind w:left="720"/>
      <w:contextualSpacing/>
    </w:pPr>
    <w:rPr>
      <w:rFonts w:ascii="Times New Roman" w:eastAsiaTheme="minorEastAsia" w:hAnsi="Times New Roman" w:cs="Times New Roman"/>
      <w:sz w:val="24"/>
      <w:szCs w:val="24"/>
      <w:lang w:eastAsia="nl-BE"/>
    </w:rPr>
  </w:style>
  <w:style w:type="paragraph" w:styleId="Lijstopsomteken">
    <w:name w:val="List Bullet"/>
    <w:basedOn w:val="Standaard"/>
    <w:uiPriority w:val="9"/>
    <w:qFormat/>
    <w:rsid w:val="00294D39"/>
    <w:pPr>
      <w:numPr>
        <w:numId w:val="10"/>
      </w:numPr>
      <w:suppressAutoHyphens/>
      <w:spacing w:after="0" w:line="300" w:lineRule="atLeast"/>
    </w:pPr>
    <w:rPr>
      <w:rFonts w:eastAsia="Times New Roman" w:cs="Times New Roman"/>
      <w:color w:val="000000" w:themeColor="text1"/>
      <w:sz w:val="20"/>
      <w:szCs w:val="20"/>
      <w:lang w:val="nl-NL" w:eastAsia="nl-NL"/>
    </w:rPr>
  </w:style>
  <w:style w:type="paragraph" w:styleId="Lijstopsomteken2">
    <w:name w:val="List Bullet 2"/>
    <w:basedOn w:val="Standaard"/>
    <w:uiPriority w:val="99"/>
    <w:semiHidden/>
    <w:rsid w:val="00294D39"/>
    <w:pPr>
      <w:numPr>
        <w:ilvl w:val="1"/>
        <w:numId w:val="10"/>
      </w:numPr>
      <w:suppressAutoHyphens/>
      <w:spacing w:after="0" w:line="300" w:lineRule="atLeast"/>
    </w:pPr>
    <w:rPr>
      <w:rFonts w:eastAsia="Times New Roman" w:cs="Times New Roman"/>
      <w:color w:val="000000" w:themeColor="text1"/>
      <w:sz w:val="20"/>
      <w:szCs w:val="20"/>
      <w:lang w:val="nl-NL" w:eastAsia="nl-NL"/>
    </w:rPr>
  </w:style>
  <w:style w:type="paragraph" w:styleId="Lijstopsomteken3">
    <w:name w:val="List Bullet 3"/>
    <w:basedOn w:val="Standaard"/>
    <w:uiPriority w:val="99"/>
    <w:semiHidden/>
    <w:rsid w:val="00294D39"/>
    <w:pPr>
      <w:numPr>
        <w:ilvl w:val="2"/>
        <w:numId w:val="10"/>
      </w:numPr>
      <w:suppressAutoHyphens/>
      <w:spacing w:after="0" w:line="300" w:lineRule="atLeast"/>
    </w:pPr>
    <w:rPr>
      <w:rFonts w:eastAsia="Times New Roman" w:cs="Times New Roman"/>
      <w:color w:val="000000" w:themeColor="text1"/>
      <w:sz w:val="20"/>
      <w:szCs w:val="20"/>
      <w:lang w:val="nl-NL" w:eastAsia="nl-NL"/>
    </w:rPr>
  </w:style>
  <w:style w:type="numbering" w:customStyle="1" w:styleId="Opsomming">
    <w:name w:val="Opsomming"/>
    <w:uiPriority w:val="99"/>
    <w:rsid w:val="00294D39"/>
    <w:pPr>
      <w:numPr>
        <w:numId w:val="9"/>
      </w:numPr>
    </w:pPr>
  </w:style>
  <w:style w:type="paragraph" w:styleId="Revisie">
    <w:name w:val="Revision"/>
    <w:hidden/>
    <w:uiPriority w:val="99"/>
    <w:semiHidden/>
    <w:rsid w:val="00D12003"/>
    <w:pPr>
      <w:spacing w:after="0" w:line="240" w:lineRule="auto"/>
    </w:pPr>
  </w:style>
  <w:style w:type="character" w:customStyle="1" w:styleId="Kop2Char">
    <w:name w:val="Kop 2 Char"/>
    <w:basedOn w:val="Standaardalinea-lettertype"/>
    <w:link w:val="Kop2"/>
    <w:uiPriority w:val="9"/>
    <w:rsid w:val="002E3FCC"/>
    <w:rPr>
      <w:rFonts w:asciiTheme="majorHAnsi" w:eastAsiaTheme="majorEastAsia" w:hAnsiTheme="majorHAnsi" w:cstheme="majorBidi"/>
      <w:color w:val="2F5496" w:themeColor="accent1" w:themeShade="BF"/>
      <w:sz w:val="26"/>
      <w:szCs w:val="26"/>
    </w:rPr>
  </w:style>
  <w:style w:type="character" w:styleId="Onopgelostemelding">
    <w:name w:val="Unresolved Mention"/>
    <w:basedOn w:val="Standaardalinea-lettertype"/>
    <w:uiPriority w:val="99"/>
    <w:semiHidden/>
    <w:unhideWhenUsed/>
    <w:rsid w:val="005D5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8998">
      <w:bodyDiv w:val="1"/>
      <w:marLeft w:val="0"/>
      <w:marRight w:val="0"/>
      <w:marTop w:val="0"/>
      <w:marBottom w:val="0"/>
      <w:divBdr>
        <w:top w:val="none" w:sz="0" w:space="0" w:color="auto"/>
        <w:left w:val="none" w:sz="0" w:space="0" w:color="auto"/>
        <w:bottom w:val="none" w:sz="0" w:space="0" w:color="auto"/>
        <w:right w:val="none" w:sz="0" w:space="0" w:color="auto"/>
      </w:divBdr>
    </w:div>
    <w:div w:id="283656101">
      <w:bodyDiv w:val="1"/>
      <w:marLeft w:val="0"/>
      <w:marRight w:val="0"/>
      <w:marTop w:val="0"/>
      <w:marBottom w:val="0"/>
      <w:divBdr>
        <w:top w:val="none" w:sz="0" w:space="0" w:color="auto"/>
        <w:left w:val="none" w:sz="0" w:space="0" w:color="auto"/>
        <w:bottom w:val="none" w:sz="0" w:space="0" w:color="auto"/>
        <w:right w:val="none" w:sz="0" w:space="0" w:color="auto"/>
      </w:divBdr>
    </w:div>
    <w:div w:id="310016004">
      <w:bodyDiv w:val="1"/>
      <w:marLeft w:val="0"/>
      <w:marRight w:val="0"/>
      <w:marTop w:val="0"/>
      <w:marBottom w:val="0"/>
      <w:divBdr>
        <w:top w:val="none" w:sz="0" w:space="0" w:color="auto"/>
        <w:left w:val="none" w:sz="0" w:space="0" w:color="auto"/>
        <w:bottom w:val="none" w:sz="0" w:space="0" w:color="auto"/>
        <w:right w:val="none" w:sz="0" w:space="0" w:color="auto"/>
      </w:divBdr>
    </w:div>
    <w:div w:id="1296989339">
      <w:bodyDiv w:val="1"/>
      <w:marLeft w:val="0"/>
      <w:marRight w:val="0"/>
      <w:marTop w:val="0"/>
      <w:marBottom w:val="0"/>
      <w:divBdr>
        <w:top w:val="none" w:sz="0" w:space="0" w:color="auto"/>
        <w:left w:val="none" w:sz="0" w:space="0" w:color="auto"/>
        <w:bottom w:val="none" w:sz="0" w:space="0" w:color="auto"/>
        <w:right w:val="none" w:sz="0" w:space="0" w:color="auto"/>
      </w:divBdr>
    </w:div>
    <w:div w:id="1647078824">
      <w:bodyDiv w:val="1"/>
      <w:marLeft w:val="0"/>
      <w:marRight w:val="0"/>
      <w:marTop w:val="0"/>
      <w:marBottom w:val="0"/>
      <w:divBdr>
        <w:top w:val="none" w:sz="0" w:space="0" w:color="auto"/>
        <w:left w:val="none" w:sz="0" w:space="0" w:color="auto"/>
        <w:bottom w:val="none" w:sz="0" w:space="0" w:color="auto"/>
        <w:right w:val="none" w:sz="0" w:space="0" w:color="auto"/>
      </w:divBdr>
    </w:div>
    <w:div w:id="1726373427">
      <w:bodyDiv w:val="1"/>
      <w:marLeft w:val="0"/>
      <w:marRight w:val="0"/>
      <w:marTop w:val="0"/>
      <w:marBottom w:val="0"/>
      <w:divBdr>
        <w:top w:val="none" w:sz="0" w:space="0" w:color="auto"/>
        <w:left w:val="none" w:sz="0" w:space="0" w:color="auto"/>
        <w:bottom w:val="none" w:sz="0" w:space="0" w:color="auto"/>
        <w:right w:val="none" w:sz="0" w:space="0" w:color="auto"/>
      </w:divBdr>
    </w:div>
    <w:div w:id="1789004490">
      <w:bodyDiv w:val="1"/>
      <w:marLeft w:val="0"/>
      <w:marRight w:val="0"/>
      <w:marTop w:val="0"/>
      <w:marBottom w:val="0"/>
      <w:divBdr>
        <w:top w:val="none" w:sz="0" w:space="0" w:color="auto"/>
        <w:left w:val="none" w:sz="0" w:space="0" w:color="auto"/>
        <w:bottom w:val="none" w:sz="0" w:space="0" w:color="auto"/>
        <w:right w:val="none" w:sz="0" w:space="0" w:color="auto"/>
      </w:divBdr>
    </w:div>
    <w:div w:id="18352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www.ecb.europa.eu/pub/economic-bulletin/articles/2018/html/ecb.ebart201806_03.en.htm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3"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K38WE\AppData\Local\Microsoft\Windows\INetCache\Content.Outlook\ARMNV2NW\IIS%20Mob%20Banking_HOW%20DO%20YOU%20USUALLY%20PAY%20FOR..._BELGI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'[20200825_DonnéesIISpourCashless.xlsx]Sheet2'!$A$30</c:f>
              <c:strCache>
                <c:ptCount val="1"/>
                <c:pt idx="0">
                  <c:v>Top 2 (agree)</c:v>
                </c:pt>
              </c:strCache>
            </c:strRef>
          </c:tx>
          <c:spPr>
            <a:solidFill>
              <a:srgbClr val="FF6200"/>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rgbClr val="FFFFFF"/>
                    </a:solidFill>
                    <a:latin typeface="ING Me" panose="02000506040000020004" pitchFamily="2" charset="0"/>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'[20200825_DonnéesIISpourCashless.xlsx]Sheet2'!$B$10:$O$10</c:f>
              <c:strCache>
                <c:ptCount val="14"/>
                <c:pt idx="0">
                  <c:v>Total Europe</c:v>
                </c:pt>
                <c:pt idx="1">
                  <c:v>Austria</c:v>
                </c:pt>
                <c:pt idx="2">
                  <c:v>Belgium</c:v>
                </c:pt>
                <c:pt idx="3">
                  <c:v>France</c:v>
                </c:pt>
                <c:pt idx="4">
                  <c:v>Germany</c:v>
                </c:pt>
                <c:pt idx="5">
                  <c:v>Italy</c:v>
                </c:pt>
                <c:pt idx="6">
                  <c:v>Luxembourg</c:v>
                </c:pt>
                <c:pt idx="7">
                  <c:v>Netherlands</c:v>
                </c:pt>
                <c:pt idx="8">
                  <c:v>Poland</c:v>
                </c:pt>
                <c:pt idx="9">
                  <c:v>Romania</c:v>
                </c:pt>
                <c:pt idx="10">
                  <c:v>Spain</c:v>
                </c:pt>
                <c:pt idx="11">
                  <c:v>Turkey</c:v>
                </c:pt>
                <c:pt idx="12">
                  <c:v>United Kingdom</c:v>
                </c:pt>
                <c:pt idx="13">
                  <c:v>Czech Republic</c:v>
                </c:pt>
              </c:strCache>
            </c:strRef>
          </c:cat>
          <c:val>
            <c:numRef>
              <c:f>'[20200825_DonnéesIISpourCashless.xlsx]Sheet2'!$B$30:$O$30</c:f>
              <c:numCache>
                <c:formatCode>#,#00%</c:formatCode>
                <c:ptCount val="14"/>
                <c:pt idx="0">
                  <c:v>0.57600000000000007</c:v>
                </c:pt>
                <c:pt idx="1">
                  <c:v>0.373</c:v>
                </c:pt>
                <c:pt idx="2">
                  <c:v>0.58499999999999996</c:v>
                </c:pt>
                <c:pt idx="3">
                  <c:v>0.53500000000000003</c:v>
                </c:pt>
                <c:pt idx="4">
                  <c:v>0.40699999999999997</c:v>
                </c:pt>
                <c:pt idx="5">
                  <c:v>0.56999999999999995</c:v>
                </c:pt>
                <c:pt idx="6">
                  <c:v>0.60799999999999998</c:v>
                </c:pt>
                <c:pt idx="7">
                  <c:v>0.53</c:v>
                </c:pt>
                <c:pt idx="8">
                  <c:v>0.72599999999999998</c:v>
                </c:pt>
                <c:pt idx="9">
                  <c:v>0.55299999999999994</c:v>
                </c:pt>
                <c:pt idx="10">
                  <c:v>0.63400000000000001</c:v>
                </c:pt>
                <c:pt idx="11">
                  <c:v>0.72299999999999998</c:v>
                </c:pt>
                <c:pt idx="12">
                  <c:v>0.60599999999999998</c:v>
                </c:pt>
                <c:pt idx="13">
                  <c:v>0.57600000000000007</c:v>
                </c:pt>
              </c:numCache>
            </c:numRef>
          </c:val>
          <c:extLst>
            <c:ext xmlns:c16="http://schemas.microsoft.com/office/drawing/2014/chart" uri="{C3380CC4-5D6E-409C-BE32-E72D297353CC}">
              <c16:uniqueId val="{00000000-E473-47E5-B3B9-A8062A5A051A}"/>
            </c:ext>
          </c:extLst>
        </c:ser>
        <c:ser>
          <c:idx val="1"/>
          <c:order val="1"/>
          <c:tx>
            <c:strRef>
              <c:f>'[20200825_DonnéesIISpourCashless.xlsx]Sheet2'!$A$32</c:f>
              <c:strCache>
                <c:ptCount val="1"/>
                <c:pt idx="0">
                  <c:v>Bottom 2 (disagree)</c:v>
                </c:pt>
              </c:strCache>
            </c:strRef>
          </c:tx>
          <c:spPr>
            <a:solidFill>
              <a:srgbClr val="A8A8A8"/>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rgbClr val="FFFFFF"/>
                    </a:solidFill>
                    <a:latin typeface="ING Me" panose="02000506040000020004" pitchFamily="2" charset="0"/>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'[20200825_DonnéesIISpourCashless.xlsx]Sheet2'!$B$10:$O$10</c:f>
              <c:strCache>
                <c:ptCount val="14"/>
                <c:pt idx="0">
                  <c:v>Total Europe</c:v>
                </c:pt>
                <c:pt idx="1">
                  <c:v>Austria</c:v>
                </c:pt>
                <c:pt idx="2">
                  <c:v>Belgium</c:v>
                </c:pt>
                <c:pt idx="3">
                  <c:v>France</c:v>
                </c:pt>
                <c:pt idx="4">
                  <c:v>Germany</c:v>
                </c:pt>
                <c:pt idx="5">
                  <c:v>Italy</c:v>
                </c:pt>
                <c:pt idx="6">
                  <c:v>Luxembourg</c:v>
                </c:pt>
                <c:pt idx="7">
                  <c:v>Netherlands</c:v>
                </c:pt>
                <c:pt idx="8">
                  <c:v>Poland</c:v>
                </c:pt>
                <c:pt idx="9">
                  <c:v>Romania</c:v>
                </c:pt>
                <c:pt idx="10">
                  <c:v>Spain</c:v>
                </c:pt>
                <c:pt idx="11">
                  <c:v>Turkey</c:v>
                </c:pt>
                <c:pt idx="12">
                  <c:v>United Kingdom</c:v>
                </c:pt>
                <c:pt idx="13">
                  <c:v>Czech Republic</c:v>
                </c:pt>
              </c:strCache>
            </c:strRef>
          </c:cat>
          <c:val>
            <c:numRef>
              <c:f>'[20200825_DonnéesIISpourCashless.xlsx]Sheet2'!$B$32:$O$32</c:f>
              <c:numCache>
                <c:formatCode>#,#00%</c:formatCode>
                <c:ptCount val="14"/>
                <c:pt idx="0">
                  <c:v>0.21199999999999999</c:v>
                </c:pt>
                <c:pt idx="1">
                  <c:v>0.40600000000000003</c:v>
                </c:pt>
                <c:pt idx="2">
                  <c:v>0.155</c:v>
                </c:pt>
                <c:pt idx="3">
                  <c:v>0.215</c:v>
                </c:pt>
                <c:pt idx="4">
                  <c:v>0.35299999999999998</c:v>
                </c:pt>
                <c:pt idx="5">
                  <c:v>0.19600000000000001</c:v>
                </c:pt>
                <c:pt idx="6">
                  <c:v>0.192</c:v>
                </c:pt>
                <c:pt idx="7">
                  <c:v>0.19900000000000001</c:v>
                </c:pt>
                <c:pt idx="8">
                  <c:v>0.17699999999999999</c:v>
                </c:pt>
                <c:pt idx="9">
                  <c:v>0.20699999999999999</c:v>
                </c:pt>
                <c:pt idx="10">
                  <c:v>0.17</c:v>
                </c:pt>
                <c:pt idx="11">
                  <c:v>0.126</c:v>
                </c:pt>
                <c:pt idx="12">
                  <c:v>0.157</c:v>
                </c:pt>
                <c:pt idx="13">
                  <c:v>0.25800000000000001</c:v>
                </c:pt>
              </c:numCache>
            </c:numRef>
          </c:val>
          <c:extLst>
            <c:ext xmlns:c16="http://schemas.microsoft.com/office/drawing/2014/chart" uri="{C3380CC4-5D6E-409C-BE32-E72D297353CC}">
              <c16:uniqueId val="{00000001-E473-47E5-B3B9-A8062A5A051A}"/>
            </c:ext>
          </c:extLst>
        </c:ser>
        <c:ser>
          <c:idx val="2"/>
          <c:order val="2"/>
          <c:tx>
            <c:strRef>
              <c:f>'[20200825_DonnéesIISpourCashless.xlsx]Sheet2'!$A$20</c:f>
              <c:strCache>
                <c:ptCount val="1"/>
                <c:pt idx="0">
                  <c:v>Neither agree nor disagree</c:v>
                </c:pt>
              </c:strCache>
            </c:strRef>
          </c:tx>
          <c:spPr>
            <a:solidFill>
              <a:srgbClr val="525199"/>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rgbClr val="FFFFFF"/>
                    </a:solidFill>
                    <a:latin typeface="ING Me" panose="02000506040000020004" pitchFamily="2" charset="0"/>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'[20200825_DonnéesIISpourCashless.xlsx]Sheet2'!$B$20:$O$20</c:f>
              <c:numCache>
                <c:formatCode>#,#00%</c:formatCode>
                <c:ptCount val="14"/>
                <c:pt idx="0">
                  <c:v>0.21299999999999999</c:v>
                </c:pt>
                <c:pt idx="1">
                  <c:v>0.221</c:v>
                </c:pt>
                <c:pt idx="2">
                  <c:v>0.26</c:v>
                </c:pt>
                <c:pt idx="3">
                  <c:v>0.25</c:v>
                </c:pt>
                <c:pt idx="4">
                  <c:v>0.24</c:v>
                </c:pt>
                <c:pt idx="5">
                  <c:v>0.23400000000000001</c:v>
                </c:pt>
                <c:pt idx="6">
                  <c:v>0.2</c:v>
                </c:pt>
                <c:pt idx="7">
                  <c:v>0.27100000000000002</c:v>
                </c:pt>
                <c:pt idx="8">
                  <c:v>9.6999999999999989E-2</c:v>
                </c:pt>
                <c:pt idx="9">
                  <c:v>0.24</c:v>
                </c:pt>
                <c:pt idx="10">
                  <c:v>0.19600000000000001</c:v>
                </c:pt>
                <c:pt idx="11">
                  <c:v>0.151</c:v>
                </c:pt>
                <c:pt idx="12">
                  <c:v>0.23699999999999999</c:v>
                </c:pt>
                <c:pt idx="13">
                  <c:v>0.16600000000000001</c:v>
                </c:pt>
              </c:numCache>
            </c:numRef>
          </c:val>
          <c:extLst>
            <c:ext xmlns:c16="http://schemas.microsoft.com/office/drawing/2014/chart" uri="{C3380CC4-5D6E-409C-BE32-E72D297353CC}">
              <c16:uniqueId val="{00000002-E473-47E5-B3B9-A8062A5A051A}"/>
            </c:ext>
          </c:extLst>
        </c:ser>
        <c:dLbls>
          <c:showLegendKey val="0"/>
          <c:showVal val="0"/>
          <c:showCatName val="0"/>
          <c:showSerName val="0"/>
          <c:showPercent val="0"/>
          <c:showBubbleSize val="0"/>
        </c:dLbls>
        <c:gapWidth val="80"/>
        <c:overlap val="100"/>
        <c:axId val="2048670056"/>
        <c:axId val="2048666448"/>
      </c:barChart>
      <c:catAx>
        <c:axId val="2048670056"/>
        <c:scaling>
          <c:orientation val="maxMin"/>
        </c:scaling>
        <c:delete val="0"/>
        <c:axPos val="l"/>
        <c:numFmt formatCode="General" sourceLinked="1"/>
        <c:majorTickMark val="out"/>
        <c:minorTickMark val="none"/>
        <c:tickLblPos val="low"/>
        <c:spPr>
          <a:noFill/>
          <a:ln w="3175" cap="flat" cmpd="sng" algn="ctr">
            <a:solidFill>
              <a:srgbClr val="767676"/>
            </a:solidFill>
            <a:round/>
          </a:ln>
          <a:effectLst/>
        </c:spPr>
        <c:txPr>
          <a:bodyPr rot="-60000000" spcFirstLastPara="1" vertOverflow="ellipsis" vert="horz" wrap="square" anchor="ctr" anchorCtr="1"/>
          <a:lstStyle/>
          <a:p>
            <a:pPr>
              <a:defRPr sz="750" b="0" i="0" u="none" strike="noStrike" kern="1200" baseline="0">
                <a:solidFill>
                  <a:srgbClr val="000000"/>
                </a:solidFill>
                <a:latin typeface="ING Me" panose="02000506040000020004" pitchFamily="2" charset="0"/>
                <a:ea typeface="+mn-ea"/>
                <a:cs typeface="+mn-cs"/>
              </a:defRPr>
            </a:pPr>
            <a:endParaRPr lang="nl-BE"/>
          </a:p>
        </c:txPr>
        <c:crossAx val="2048666448"/>
        <c:crosses val="autoZero"/>
        <c:auto val="1"/>
        <c:lblAlgn val="ctr"/>
        <c:lblOffset val="100"/>
        <c:noMultiLvlLbl val="0"/>
      </c:catAx>
      <c:valAx>
        <c:axId val="2048666448"/>
        <c:scaling>
          <c:orientation val="minMax"/>
          <c:max val="1"/>
        </c:scaling>
        <c:delete val="0"/>
        <c:axPos val="t"/>
        <c:majorGridlines>
          <c:spPr>
            <a:ln w="3175" cap="flat" cmpd="sng" algn="ctr">
              <a:solidFill>
                <a:srgbClr val="A8A8A8"/>
              </a:solidFill>
              <a:round/>
            </a:ln>
            <a:effectLst/>
          </c:spPr>
        </c:majorGridlines>
        <c:numFmt formatCode="0%" sourceLinked="0"/>
        <c:majorTickMark val="out"/>
        <c:minorTickMark val="none"/>
        <c:tickLblPos val="high"/>
        <c:spPr>
          <a:noFill/>
          <a:ln w="25400">
            <a:noFill/>
          </a:ln>
          <a:effectLst/>
        </c:spPr>
        <c:txPr>
          <a:bodyPr rot="0" spcFirstLastPara="1" vertOverflow="ellipsis" wrap="square" anchor="ctr" anchorCtr="1"/>
          <a:lstStyle/>
          <a:p>
            <a:pPr>
              <a:defRPr sz="750" b="0" i="0" u="none" strike="noStrike" kern="1200" baseline="0">
                <a:solidFill>
                  <a:srgbClr val="000000"/>
                </a:solidFill>
                <a:latin typeface="ING Me" panose="02000506040000020004" pitchFamily="2" charset="0"/>
                <a:ea typeface="+mn-ea"/>
                <a:cs typeface="+mn-cs"/>
              </a:defRPr>
            </a:pPr>
            <a:endParaRPr lang="nl-BE"/>
          </a:p>
        </c:txPr>
        <c:crossAx val="2048670056"/>
        <c:crosses val="autoZero"/>
        <c:crossBetween val="between"/>
      </c:valAx>
      <c:spPr>
        <a:noFill/>
        <a:ln>
          <a:noFill/>
        </a:ln>
        <a:effectLst/>
      </c:spPr>
    </c:plotArea>
    <c:legend>
      <c:legendPos val="b"/>
      <c:overlay val="0"/>
      <c:spPr>
        <a:noFill/>
        <a:ln w="25400">
          <a:noFill/>
        </a:ln>
        <a:effectLst/>
      </c:spPr>
      <c:txPr>
        <a:bodyPr rot="0" spcFirstLastPara="1" vertOverflow="ellipsis" vert="horz" wrap="square" anchor="ctr" anchorCtr="1"/>
        <a:lstStyle/>
        <a:p>
          <a:pPr>
            <a:defRPr sz="750" b="0" i="0" u="none" strike="noStrike" kern="1200" baseline="0">
              <a:solidFill>
                <a:srgbClr val="000000"/>
              </a:solidFill>
              <a:latin typeface="ING Me" panose="02000506040000020004" pitchFamily="2" charset="0"/>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cap="flat" cmpd="sng" algn="ctr">
      <a:noFill/>
      <a:round/>
    </a:ln>
    <a:effectLst/>
  </c:spPr>
  <c:txPr>
    <a:bodyPr/>
    <a:lstStyle/>
    <a:p>
      <a:pPr>
        <a:defRPr sz="750" b="0" i="0">
          <a:solidFill>
            <a:srgbClr val="000000"/>
          </a:solidFill>
          <a:latin typeface="ING Me" panose="02000506040000020004" pitchFamily="2" charset="0"/>
        </a:defRPr>
      </a:pPr>
      <a:endParaRPr lang="nl-B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BELGIUM!$M$165</c:f>
              <c:strCache>
                <c:ptCount val="1"/>
                <c:pt idx="0">
                  <c:v>Cash</c:v>
                </c:pt>
              </c:strCache>
            </c:strRef>
          </c:tx>
          <c:spPr>
            <a:solidFill>
              <a:schemeClr val="accent1"/>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BELGIUM!$K$166:$L$181</c:f>
              <c:multiLvlStrCache>
                <c:ptCount val="16"/>
                <c:lvl>
                  <c:pt idx="0">
                    <c:v>2020</c:v>
                  </c:pt>
                  <c:pt idx="1">
                    <c:v>2017</c:v>
                  </c:pt>
                  <c:pt idx="2">
                    <c:v>2020</c:v>
                  </c:pt>
                  <c:pt idx="3">
                    <c:v>2017</c:v>
                  </c:pt>
                  <c:pt idx="4">
                    <c:v>2020</c:v>
                  </c:pt>
                  <c:pt idx="5">
                    <c:v>2017</c:v>
                  </c:pt>
                  <c:pt idx="6">
                    <c:v>2020</c:v>
                  </c:pt>
                  <c:pt idx="7">
                    <c:v>2017</c:v>
                  </c:pt>
                  <c:pt idx="8">
                    <c:v>2020</c:v>
                  </c:pt>
                  <c:pt idx="9">
                    <c:v>2017</c:v>
                  </c:pt>
                  <c:pt idx="10">
                    <c:v>2020</c:v>
                  </c:pt>
                  <c:pt idx="11">
                    <c:v>2017</c:v>
                  </c:pt>
                  <c:pt idx="12">
                    <c:v>2020</c:v>
                  </c:pt>
                  <c:pt idx="13">
                    <c:v>2017</c:v>
                  </c:pt>
                  <c:pt idx="14">
                    <c:v>2020</c:v>
                  </c:pt>
                  <c:pt idx="15">
                    <c:v>2017</c:v>
                  </c:pt>
                </c:lvl>
                <c:lvl>
                  <c:pt idx="0">
                    <c:v>Lunch/coffee/snack</c:v>
                  </c:pt>
                  <c:pt idx="2">
                    <c:v>Regular (weekly) grocery/food shopping</c:v>
                  </c:pt>
                  <c:pt idx="4">
                    <c:v>Restaurant</c:v>
                  </c:pt>
                  <c:pt idx="6">
                    <c:v>Public transport (subway, bus)</c:v>
                  </c:pt>
                  <c:pt idx="8">
                    <c:v>Taxis</c:v>
                  </c:pt>
                  <c:pt idx="10">
                    <c:v>Gifts</c:v>
                  </c:pt>
                  <c:pt idx="12">
                    <c:v>Pocket money</c:v>
                  </c:pt>
                  <c:pt idx="14">
                    <c:v>Lending money to friend or family member</c:v>
                  </c:pt>
                </c:lvl>
              </c:multiLvlStrCache>
            </c:multiLvlStrRef>
          </c:cat>
          <c:val>
            <c:numRef>
              <c:f>BELGIUM!$M$166:$M$181</c:f>
              <c:numCache>
                <c:formatCode>0%</c:formatCode>
                <c:ptCount val="16"/>
                <c:pt idx="0">
                  <c:v>0.45400000000000001</c:v>
                </c:pt>
                <c:pt idx="1">
                  <c:v>0.628</c:v>
                </c:pt>
                <c:pt idx="2">
                  <c:v>0.10199999999999999</c:v>
                </c:pt>
                <c:pt idx="3">
                  <c:v>0.158</c:v>
                </c:pt>
                <c:pt idx="4">
                  <c:v>0.185</c:v>
                </c:pt>
                <c:pt idx="5">
                  <c:v>0.33700000000000002</c:v>
                </c:pt>
                <c:pt idx="6">
                  <c:v>0.19400000000000001</c:v>
                </c:pt>
                <c:pt idx="7">
                  <c:v>0.32400000000000001</c:v>
                </c:pt>
                <c:pt idx="8">
                  <c:v>0.28100000000000003</c:v>
                </c:pt>
                <c:pt idx="9">
                  <c:v>0.35099999999999998</c:v>
                </c:pt>
                <c:pt idx="10">
                  <c:v>0.124</c:v>
                </c:pt>
                <c:pt idx="11">
                  <c:v>0.191</c:v>
                </c:pt>
                <c:pt idx="12">
                  <c:v>0.40400000000000003</c:v>
                </c:pt>
                <c:pt idx="13">
                  <c:v>0.54900000000000004</c:v>
                </c:pt>
                <c:pt idx="14">
                  <c:v>0.18</c:v>
                </c:pt>
                <c:pt idx="15">
                  <c:v>0.32400000000000001</c:v>
                </c:pt>
              </c:numCache>
            </c:numRef>
          </c:val>
          <c:extLst>
            <c:ext xmlns:c16="http://schemas.microsoft.com/office/drawing/2014/chart" uri="{C3380CC4-5D6E-409C-BE32-E72D297353CC}">
              <c16:uniqueId val="{00000000-1601-4EF6-8243-F04B5E3808E6}"/>
            </c:ext>
          </c:extLst>
        </c:ser>
        <c:ser>
          <c:idx val="1"/>
          <c:order val="1"/>
          <c:tx>
            <c:strRef>
              <c:f>BELGIUM!$N$165</c:f>
              <c:strCache>
                <c:ptCount val="1"/>
                <c:pt idx="0">
                  <c:v>Non-Cash</c:v>
                </c:pt>
              </c:strCache>
            </c:strRef>
          </c:tx>
          <c:spPr>
            <a:solidFill>
              <a:schemeClr val="accent2"/>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BELGIUM!$K$166:$L$181</c:f>
              <c:multiLvlStrCache>
                <c:ptCount val="16"/>
                <c:lvl>
                  <c:pt idx="0">
                    <c:v>2020</c:v>
                  </c:pt>
                  <c:pt idx="1">
                    <c:v>2017</c:v>
                  </c:pt>
                  <c:pt idx="2">
                    <c:v>2020</c:v>
                  </c:pt>
                  <c:pt idx="3">
                    <c:v>2017</c:v>
                  </c:pt>
                  <c:pt idx="4">
                    <c:v>2020</c:v>
                  </c:pt>
                  <c:pt idx="5">
                    <c:v>2017</c:v>
                  </c:pt>
                  <c:pt idx="6">
                    <c:v>2020</c:v>
                  </c:pt>
                  <c:pt idx="7">
                    <c:v>2017</c:v>
                  </c:pt>
                  <c:pt idx="8">
                    <c:v>2020</c:v>
                  </c:pt>
                  <c:pt idx="9">
                    <c:v>2017</c:v>
                  </c:pt>
                  <c:pt idx="10">
                    <c:v>2020</c:v>
                  </c:pt>
                  <c:pt idx="11">
                    <c:v>2017</c:v>
                  </c:pt>
                  <c:pt idx="12">
                    <c:v>2020</c:v>
                  </c:pt>
                  <c:pt idx="13">
                    <c:v>2017</c:v>
                  </c:pt>
                  <c:pt idx="14">
                    <c:v>2020</c:v>
                  </c:pt>
                  <c:pt idx="15">
                    <c:v>2017</c:v>
                  </c:pt>
                </c:lvl>
                <c:lvl>
                  <c:pt idx="0">
                    <c:v>Lunch/coffee/snack</c:v>
                  </c:pt>
                  <c:pt idx="2">
                    <c:v>Regular (weekly) grocery/food shopping</c:v>
                  </c:pt>
                  <c:pt idx="4">
                    <c:v>Restaurant</c:v>
                  </c:pt>
                  <c:pt idx="6">
                    <c:v>Public transport (subway, bus)</c:v>
                  </c:pt>
                  <c:pt idx="8">
                    <c:v>Taxis</c:v>
                  </c:pt>
                  <c:pt idx="10">
                    <c:v>Gifts</c:v>
                  </c:pt>
                  <c:pt idx="12">
                    <c:v>Pocket money</c:v>
                  </c:pt>
                  <c:pt idx="14">
                    <c:v>Lending money to friend or family member</c:v>
                  </c:pt>
                </c:lvl>
              </c:multiLvlStrCache>
            </c:multiLvlStrRef>
          </c:cat>
          <c:val>
            <c:numRef>
              <c:f>BELGIUM!$N$166:$N$181</c:f>
              <c:numCache>
                <c:formatCode>0%</c:formatCode>
                <c:ptCount val="16"/>
                <c:pt idx="0">
                  <c:v>0.433</c:v>
                </c:pt>
                <c:pt idx="1">
                  <c:v>0.26600000000000001</c:v>
                </c:pt>
                <c:pt idx="2">
                  <c:v>0.88700000000000001</c:v>
                </c:pt>
                <c:pt idx="3">
                  <c:v>0.81499999999999995</c:v>
                </c:pt>
                <c:pt idx="4">
                  <c:v>0.7380000000000001</c:v>
                </c:pt>
                <c:pt idx="5">
                  <c:v>0.57899999999999996</c:v>
                </c:pt>
                <c:pt idx="6">
                  <c:v>0.443</c:v>
                </c:pt>
                <c:pt idx="7">
                  <c:v>0.32600000000000001</c:v>
                </c:pt>
                <c:pt idx="8">
                  <c:v>0.191</c:v>
                </c:pt>
                <c:pt idx="9">
                  <c:v>7.9000000000000001E-2</c:v>
                </c:pt>
                <c:pt idx="10">
                  <c:v>0.79900000000000004</c:v>
                </c:pt>
                <c:pt idx="11">
                  <c:v>0.76700000000000002</c:v>
                </c:pt>
                <c:pt idx="12">
                  <c:v>0.26700000000000002</c:v>
                </c:pt>
                <c:pt idx="13">
                  <c:v>0.14499999999999999</c:v>
                </c:pt>
                <c:pt idx="14">
                  <c:v>0.38600000000000001</c:v>
                </c:pt>
                <c:pt idx="15">
                  <c:v>0.20200000000000001</c:v>
                </c:pt>
              </c:numCache>
            </c:numRef>
          </c:val>
          <c:extLst>
            <c:ext xmlns:c16="http://schemas.microsoft.com/office/drawing/2014/chart" uri="{C3380CC4-5D6E-409C-BE32-E72D297353CC}">
              <c16:uniqueId val="{00000001-1601-4EF6-8243-F04B5E3808E6}"/>
            </c:ext>
          </c:extLst>
        </c:ser>
        <c:ser>
          <c:idx val="2"/>
          <c:order val="2"/>
          <c:tx>
            <c:strRef>
              <c:f>BELGIUM!$O$165</c:f>
              <c:strCache>
                <c:ptCount val="1"/>
                <c:pt idx="0">
                  <c:v>I never have this type of expense</c:v>
                </c:pt>
              </c:strCache>
            </c:strRef>
          </c:tx>
          <c:spPr>
            <a:solidFill>
              <a:schemeClr val="accent3"/>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BELGIUM!$K$166:$L$181</c:f>
              <c:multiLvlStrCache>
                <c:ptCount val="16"/>
                <c:lvl>
                  <c:pt idx="0">
                    <c:v>2020</c:v>
                  </c:pt>
                  <c:pt idx="1">
                    <c:v>2017</c:v>
                  </c:pt>
                  <c:pt idx="2">
                    <c:v>2020</c:v>
                  </c:pt>
                  <c:pt idx="3">
                    <c:v>2017</c:v>
                  </c:pt>
                  <c:pt idx="4">
                    <c:v>2020</c:v>
                  </c:pt>
                  <c:pt idx="5">
                    <c:v>2017</c:v>
                  </c:pt>
                  <c:pt idx="6">
                    <c:v>2020</c:v>
                  </c:pt>
                  <c:pt idx="7">
                    <c:v>2017</c:v>
                  </c:pt>
                  <c:pt idx="8">
                    <c:v>2020</c:v>
                  </c:pt>
                  <c:pt idx="9">
                    <c:v>2017</c:v>
                  </c:pt>
                  <c:pt idx="10">
                    <c:v>2020</c:v>
                  </c:pt>
                  <c:pt idx="11">
                    <c:v>2017</c:v>
                  </c:pt>
                  <c:pt idx="12">
                    <c:v>2020</c:v>
                  </c:pt>
                  <c:pt idx="13">
                    <c:v>2017</c:v>
                  </c:pt>
                  <c:pt idx="14">
                    <c:v>2020</c:v>
                  </c:pt>
                  <c:pt idx="15">
                    <c:v>2017</c:v>
                  </c:pt>
                </c:lvl>
                <c:lvl>
                  <c:pt idx="0">
                    <c:v>Lunch/coffee/snack</c:v>
                  </c:pt>
                  <c:pt idx="2">
                    <c:v>Regular (weekly) grocery/food shopping</c:v>
                  </c:pt>
                  <c:pt idx="4">
                    <c:v>Restaurant</c:v>
                  </c:pt>
                  <c:pt idx="6">
                    <c:v>Public transport (subway, bus)</c:v>
                  </c:pt>
                  <c:pt idx="8">
                    <c:v>Taxis</c:v>
                  </c:pt>
                  <c:pt idx="10">
                    <c:v>Gifts</c:v>
                  </c:pt>
                  <c:pt idx="12">
                    <c:v>Pocket money</c:v>
                  </c:pt>
                  <c:pt idx="14">
                    <c:v>Lending money to friend or family member</c:v>
                  </c:pt>
                </c:lvl>
              </c:multiLvlStrCache>
            </c:multiLvlStrRef>
          </c:cat>
          <c:val>
            <c:numRef>
              <c:f>BELGIUM!$O$166:$O$181</c:f>
              <c:numCache>
                <c:formatCode>0%</c:formatCode>
                <c:ptCount val="16"/>
                <c:pt idx="0">
                  <c:v>0.113</c:v>
                </c:pt>
                <c:pt idx="1">
                  <c:v>0.106</c:v>
                </c:pt>
                <c:pt idx="2">
                  <c:v>0.01</c:v>
                </c:pt>
                <c:pt idx="3">
                  <c:v>2.5999999999999999E-2</c:v>
                </c:pt>
                <c:pt idx="4">
                  <c:v>7.5999999999999998E-2</c:v>
                </c:pt>
                <c:pt idx="5">
                  <c:v>8.3000000000000004E-2</c:v>
                </c:pt>
                <c:pt idx="6">
                  <c:v>0.36299999999999999</c:v>
                </c:pt>
                <c:pt idx="7">
                  <c:v>0.35</c:v>
                </c:pt>
                <c:pt idx="8">
                  <c:v>0.52900000000000003</c:v>
                </c:pt>
                <c:pt idx="9">
                  <c:v>0.56999999999999995</c:v>
                </c:pt>
                <c:pt idx="10">
                  <c:v>7.6999999999999999E-2</c:v>
                </c:pt>
                <c:pt idx="11">
                  <c:v>4.2000000000000003E-2</c:v>
                </c:pt>
                <c:pt idx="12">
                  <c:v>0.33</c:v>
                </c:pt>
                <c:pt idx="13">
                  <c:v>0.30599999999999999</c:v>
                </c:pt>
                <c:pt idx="14">
                  <c:v>0.434</c:v>
                </c:pt>
                <c:pt idx="15">
                  <c:v>0.47499999999999998</c:v>
                </c:pt>
              </c:numCache>
            </c:numRef>
          </c:val>
          <c:extLst>
            <c:ext xmlns:c16="http://schemas.microsoft.com/office/drawing/2014/chart" uri="{C3380CC4-5D6E-409C-BE32-E72D297353CC}">
              <c16:uniqueId val="{00000002-1601-4EF6-8243-F04B5E3808E6}"/>
            </c:ext>
          </c:extLst>
        </c:ser>
        <c:dLbls>
          <c:showLegendKey val="0"/>
          <c:showVal val="0"/>
          <c:showCatName val="0"/>
          <c:showSerName val="0"/>
          <c:showPercent val="0"/>
          <c:showBubbleSize val="0"/>
        </c:dLbls>
        <c:gapWidth val="42"/>
        <c:overlap val="100"/>
        <c:axId val="566740704"/>
        <c:axId val="566741032"/>
      </c:barChart>
      <c:catAx>
        <c:axId val="566740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BE"/>
          </a:p>
        </c:txPr>
        <c:crossAx val="566741032"/>
        <c:crosses val="autoZero"/>
        <c:auto val="1"/>
        <c:lblAlgn val="ctr"/>
        <c:lblOffset val="100"/>
        <c:noMultiLvlLbl val="0"/>
      </c:catAx>
      <c:valAx>
        <c:axId val="566741032"/>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nl-BE"/>
          </a:p>
        </c:txPr>
        <c:crossAx val="566740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B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NG">
    <a:dk1>
      <a:sysClr val="windowText" lastClr="000000"/>
    </a:dk1>
    <a:lt1>
      <a:sysClr val="window" lastClr="FFFFFF"/>
    </a:lt1>
    <a:dk2>
      <a:srgbClr val="FF6200"/>
    </a:dk2>
    <a:lt2>
      <a:srgbClr val="696969"/>
    </a:lt2>
    <a:accent1>
      <a:srgbClr val="FF6200"/>
    </a:accent1>
    <a:accent2>
      <a:srgbClr val="A8A8A8"/>
    </a:accent2>
    <a:accent3>
      <a:srgbClr val="525199"/>
    </a:accent3>
    <a:accent4>
      <a:srgbClr val="60A6DA"/>
    </a:accent4>
    <a:accent5>
      <a:srgbClr val="AB0066"/>
    </a:accent5>
    <a:accent6>
      <a:srgbClr val="D0D93C"/>
    </a:accent6>
    <a:hlink>
      <a:srgbClr val="525199"/>
    </a:hlink>
    <a:folHlink>
      <a:srgbClr val="AB0066"/>
    </a:folHlink>
  </a:clrScheme>
  <a:fontScheme name="ING">
    <a:majorFont>
      <a:latin typeface="ING Me"/>
      <a:ea typeface=""/>
      <a:cs typeface=""/>
    </a:majorFont>
    <a:minorFont>
      <a:latin typeface="ING Me"/>
      <a:ea typeface=""/>
      <a:cs typeface=""/>
    </a:minorFont>
  </a:fontScheme>
  <a:fmtScheme name="ING">
    <a:fillStyleLst>
      <a:solidFill>
        <a:schemeClr val="phClr"/>
      </a:solidFill>
      <a:gradFill rotWithShape="1">
        <a:gsLst>
          <a:gs pos="0">
            <a:schemeClr val="phClr">
              <a:tint val="60000"/>
              <a:satMod val="100000"/>
              <a:lumMod val="100000"/>
            </a:schemeClr>
          </a:gs>
          <a:gs pos="50000">
            <a:schemeClr val="phClr">
              <a:tint val="80000"/>
              <a:satMod val="100000"/>
              <a:lumMod val="100000"/>
            </a:schemeClr>
          </a:gs>
          <a:gs pos="100000">
            <a:schemeClr val="phClr">
              <a:tint val="100000"/>
              <a:satMod val="100000"/>
              <a:lumMod val="100000"/>
            </a:schemeClr>
          </a:gs>
        </a:gsLst>
        <a:lin ang="5400000" scaled="0"/>
      </a:gradFill>
      <a:gradFill rotWithShape="1">
        <a:gsLst>
          <a:gs pos="0">
            <a:schemeClr val="phClr">
              <a:tint val="30000"/>
              <a:satMod val="100000"/>
              <a:lumMod val="100000"/>
            </a:schemeClr>
          </a:gs>
          <a:gs pos="50000">
            <a:schemeClr val="phClr">
              <a:tint val="60000"/>
              <a:shade val="100000"/>
              <a:satMod val="100000"/>
              <a:lumMod val="100000"/>
            </a:schemeClr>
          </a:gs>
          <a:gs pos="100000">
            <a:schemeClr val="phClr">
              <a:shade val="100000"/>
              <a:satMod val="100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CE4F950ABA1499F93422ECE3AAA22" ma:contentTypeVersion="" ma:contentTypeDescription="Create a new document." ma:contentTypeScope="" ma:versionID="c6d31e8822cec7ec94219f118e3eae7a">
  <xsd:schema xmlns:xsd="http://www.w3.org/2001/XMLSchema" xmlns:xs="http://www.w3.org/2001/XMLSchema" xmlns:p="http://schemas.microsoft.com/office/2006/metadata/properties" xmlns:ns2="147dd77e-6809-4f7c-bc17-b4db06b9d4cb" xmlns:ns3="42bbc908-156d-4149-b301-6ae90afdb0e8" targetNamespace="http://schemas.microsoft.com/office/2006/metadata/properties" ma:root="true" ma:fieldsID="2eba9f11de4163c5e6ebe83724216d68" ns2:_="" ns3:_="">
    <xsd:import namespace="147dd77e-6809-4f7c-bc17-b4db06b9d4cb"/>
    <xsd:import namespace="42bbc908-156d-4149-b301-6ae90afdb0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dd77e-6809-4f7c-bc17-b4db06b9d4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bbc908-156d-4149-b301-6ae90afdb0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2C591-7AF4-4DCC-88BF-1A0D08C7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dd77e-6809-4f7c-bc17-b4db06b9d4cb"/>
    <ds:schemaRef ds:uri="42bbc908-156d-4149-b301-6ae90afdb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CCF89-1007-4072-B321-6F97742AA82A}">
  <ds:schemaRefs>
    <ds:schemaRef ds:uri="http://purl.org/dc/terms/"/>
    <ds:schemaRef ds:uri="http://schemas.openxmlformats.org/package/2006/metadata/core-properties"/>
    <ds:schemaRef ds:uri="http://schemas.microsoft.com/office/2006/documentManagement/types"/>
    <ds:schemaRef ds:uri="147dd77e-6809-4f7c-bc17-b4db06b9d4cb"/>
    <ds:schemaRef ds:uri="http://purl.org/dc/elements/1.1/"/>
    <ds:schemaRef ds:uri="http://schemas.microsoft.com/office/2006/metadata/properties"/>
    <ds:schemaRef ds:uri="http://schemas.microsoft.com/office/infopath/2007/PartnerControls"/>
    <ds:schemaRef ds:uri="42bbc908-156d-4149-b301-6ae90afdb0e8"/>
    <ds:schemaRef ds:uri="http://www.w3.org/XML/1998/namespace"/>
    <ds:schemaRef ds:uri="http://purl.org/dc/dcmitype/"/>
  </ds:schemaRefs>
</ds:datastoreItem>
</file>

<file path=customXml/itemProps3.xml><?xml version="1.0" encoding="utf-8"?>
<ds:datastoreItem xmlns:ds="http://schemas.openxmlformats.org/officeDocument/2006/customXml" ds:itemID="{43BE579D-7E82-429D-BC44-B4C913FD401F}">
  <ds:schemaRefs>
    <ds:schemaRef ds:uri="http://schemas.microsoft.com/sharepoint/v3/contenttype/forms"/>
  </ds:schemaRefs>
</ds:datastoreItem>
</file>

<file path=customXml/itemProps4.xml><?xml version="1.0" encoding="utf-8"?>
<ds:datastoreItem xmlns:ds="http://schemas.openxmlformats.org/officeDocument/2006/customXml" ds:itemID="{00B881F2-0634-4FFC-BB9C-31C8F84A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579</Words>
  <Characters>3188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Huyghe - WHYTE</dc:creator>
  <cp:lastModifiedBy>Yachou, S. (Safia)</cp:lastModifiedBy>
  <cp:revision>7</cp:revision>
  <cp:lastPrinted>2020-01-29T10:06:00Z</cp:lastPrinted>
  <dcterms:created xsi:type="dcterms:W3CDTF">2020-09-08T17:45:00Z</dcterms:created>
  <dcterms:modified xsi:type="dcterms:W3CDTF">2020-09-10T07:52:00Z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0x010100146CE4F950ABA1499F93422ECE3AAA22</vt:lpwstr>
  </property>
</Properties>
</file>